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55" w:type="dxa"/>
          <w:left w:w="37" w:type="dxa"/>
          <w:bottom w:w="55" w:type="dxa"/>
          <w:right w:w="55" w:type="dxa"/>
        </w:tblCellMar>
        <w:tblLook w:val="0000"/>
      </w:tblPr>
      <w:tblGrid>
        <w:gridCol w:w="1824"/>
        <w:gridCol w:w="8691"/>
      </w:tblGrid>
      <w:tr w:rsidR="009E7CDE" w:rsidTr="00B42032">
        <w:trPr>
          <w:cantSplit/>
          <w:trHeight w:val="1203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PAF -2017/2018-Dispositif 17A0280161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Psychopathologie de l’adolescent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(module 30384)</w:t>
            </w:r>
          </w:p>
        </w:tc>
      </w:tr>
      <w:tr w:rsidR="009E7CDE" w:rsidTr="00B42032">
        <w:trPr>
          <w:cantSplit/>
          <w:trHeight w:val="1032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et lieux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(prévisionnel)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E7CDE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journée – semaine du 2 au 6 octobre 2017</w:t>
            </w:r>
          </w:p>
          <w:p w:rsidR="009E7CDE" w:rsidRDefault="009E7CDE" w:rsidP="00B42032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E7CDE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journée- semaine du 11 au 15 décembre 2017</w:t>
            </w:r>
          </w:p>
          <w:p w:rsidR="009E7CDE" w:rsidRPr="009E7CDE" w:rsidRDefault="009E7CDE" w:rsidP="00B42032">
            <w:pPr>
              <w:pStyle w:val="Contenudetableau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E7CDE">
              <w:rPr>
                <w:b/>
                <w:sz w:val="20"/>
                <w:szCs w:val="20"/>
                <w:u w:val="single"/>
              </w:rPr>
              <w:t>Cité des métiers Saint-Pierre</w:t>
            </w:r>
          </w:p>
        </w:tc>
      </w:tr>
      <w:tr w:rsidR="009E7CDE" w:rsidTr="00B42032">
        <w:trPr>
          <w:cantSplit/>
          <w:trHeight w:val="1203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E7CDE" w:rsidRPr="009E7CDE" w:rsidRDefault="009E7CDE" w:rsidP="009E7CDE">
            <w:pPr>
              <w:pStyle w:val="Contenudetablea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Prise en compte de certaines spécificités liées à l’adolescence et prise en compte des élèves à besoins particuliers/ paramètres indispensables pour un climat scolaire serein</w:t>
            </w:r>
          </w:p>
        </w:tc>
      </w:tr>
      <w:tr w:rsidR="009E7CDE" w:rsidTr="00B42032">
        <w:trPr>
          <w:cantSplit/>
          <w:trHeight w:val="1203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Public 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9E7CDE">
              <w:rPr>
                <w:b/>
                <w:bCs/>
                <w:sz w:val="20"/>
                <w:szCs w:val="20"/>
              </w:rPr>
              <w:t xml:space="preserve">Formation transversale : </w:t>
            </w:r>
            <w:proofErr w:type="spellStart"/>
            <w:r w:rsidRPr="009E7CDE">
              <w:rPr>
                <w:b/>
                <w:bCs/>
                <w:sz w:val="20"/>
                <w:szCs w:val="20"/>
              </w:rPr>
              <w:t>cpes</w:t>
            </w:r>
            <w:proofErr w:type="spellEnd"/>
            <w:r w:rsidRPr="009E7CDE">
              <w:rPr>
                <w:b/>
                <w:bCs/>
                <w:sz w:val="20"/>
                <w:szCs w:val="20"/>
              </w:rPr>
              <w:t>, documentalistes et enseignants</w:t>
            </w:r>
          </w:p>
          <w:p w:rsidR="003A77FD" w:rsidRDefault="003A77FD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places </w:t>
            </w:r>
            <w:proofErr w:type="gramStart"/>
            <w:r>
              <w:rPr>
                <w:b/>
                <w:bCs/>
                <w:sz w:val="20"/>
                <w:szCs w:val="20"/>
              </w:rPr>
              <w:t>:30</w:t>
            </w:r>
            <w:proofErr w:type="gramEnd"/>
          </w:p>
          <w:p w:rsidR="003A77FD" w:rsidRPr="009E7CDE" w:rsidRDefault="003A77FD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Durée : 12 heures</w:t>
            </w:r>
          </w:p>
        </w:tc>
      </w:tr>
      <w:tr w:rsidR="009E7CDE" w:rsidTr="00B42032">
        <w:trPr>
          <w:cantSplit/>
          <w:trHeight w:val="966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3A77FD" w:rsidP="003A77F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Objectifs pédagogiques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A77FD" w:rsidRDefault="003A77FD" w:rsidP="003A77FD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  <w:p w:rsidR="009E7CDE" w:rsidRDefault="003A77FD" w:rsidP="003A77FD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Développer les connaissances et approches de l’adolescent afin de mieux       comprendre et en traiter les problématiques</w:t>
            </w:r>
          </w:p>
          <w:p w:rsidR="009E7CDE" w:rsidRDefault="009E7CDE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est fondamental de donner la possibilité aux collègues de se former, </w:t>
            </w:r>
            <w:r w:rsidR="003A77FD">
              <w:rPr>
                <w:sz w:val="20"/>
                <w:szCs w:val="20"/>
              </w:rPr>
              <w:t xml:space="preserve">afin </w:t>
            </w:r>
            <w:r>
              <w:rPr>
                <w:sz w:val="20"/>
                <w:szCs w:val="20"/>
              </w:rPr>
              <w:t>de questionne</w:t>
            </w:r>
            <w:r w:rsidR="003A77FD">
              <w:rPr>
                <w:sz w:val="20"/>
                <w:szCs w:val="20"/>
              </w:rPr>
              <w:t>r leurs pratiques et de donner</w:t>
            </w:r>
            <w:r>
              <w:rPr>
                <w:sz w:val="20"/>
                <w:szCs w:val="20"/>
              </w:rPr>
              <w:t xml:space="preserve"> une dimension plus profes</w:t>
            </w:r>
            <w:r w:rsidR="003A77FD">
              <w:rPr>
                <w:sz w:val="20"/>
                <w:szCs w:val="20"/>
              </w:rPr>
              <w:t xml:space="preserve">sionnelle aux vies scolaire, aux moments d’apprentissages dans les classes et </w:t>
            </w:r>
            <w:r>
              <w:rPr>
                <w:sz w:val="20"/>
                <w:szCs w:val="20"/>
              </w:rPr>
              <w:t xml:space="preserve"> d’en faire des lieux professionnels au service de l’élève dans une Ecole qui doit être inclusive et permettre à nos jeunes de devenir des citoyens responsables .</w:t>
            </w:r>
          </w:p>
        </w:tc>
      </w:tr>
      <w:tr w:rsidR="009E7CDE" w:rsidTr="00B42032">
        <w:trPr>
          <w:cantSplit/>
          <w:trHeight w:val="966"/>
        </w:trPr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Perspectives</w:t>
            </w:r>
          </w:p>
        </w:tc>
        <w:tc>
          <w:tcPr>
            <w:tcW w:w="8691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E7CDE" w:rsidRDefault="003A77F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Modules sur la psychologie de l’adolescent/PNL/Communication</w:t>
            </w:r>
          </w:p>
          <w:p w:rsidR="009E7CDE" w:rsidRDefault="003A77F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Acquisitions de connaissances sur les troubles chez l’adolescent</w:t>
            </w:r>
          </w:p>
          <w:p w:rsidR="009E7CDE" w:rsidRDefault="003A77F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en ateliers/analyse de pratiques</w:t>
            </w:r>
          </w:p>
          <w:p w:rsidR="009E7CDE" w:rsidRDefault="003A77F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Pédagogie active/méthodologie pour la prise en charge d’élèves à besoins particuliers</w:t>
            </w:r>
          </w:p>
          <w:p w:rsidR="003A77FD" w:rsidRDefault="003A77F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Bienveillance et vivre ensemble</w:t>
            </w:r>
          </w:p>
          <w:p w:rsidR="009E7CDE" w:rsidRDefault="009E7CDE" w:rsidP="00B42032">
            <w:pPr>
              <w:pStyle w:val="Contenudetableau"/>
              <w:ind w:left="720"/>
              <w:rPr>
                <w:sz w:val="20"/>
                <w:szCs w:val="20"/>
              </w:rPr>
            </w:pPr>
          </w:p>
        </w:tc>
      </w:tr>
    </w:tbl>
    <w:p w:rsidR="009E7CDE" w:rsidRDefault="009E7CDE" w:rsidP="009E7CDE"/>
    <w:p w:rsidR="00FF3332" w:rsidRDefault="00FF3332"/>
    <w:sectPr w:rsidR="00FF3332" w:rsidSect="001012C2">
      <w:headerReference w:type="default" r:id="rId5"/>
      <w:footerReference w:type="default" r:id="rId6"/>
      <w:pgSz w:w="11906" w:h="16838"/>
      <w:pgMar w:top="630" w:right="720" w:bottom="1233" w:left="720" w:header="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2" w:rsidRDefault="00B04234">
    <w:r>
      <w:rPr>
        <w:rFonts w:ascii="Cambria" w:hAnsi="Cambria"/>
      </w:rPr>
      <w:t>Zakia EL QADI</w:t>
    </w:r>
    <w:r>
      <w:rPr>
        <w:rFonts w:ascii="Cambria" w:hAnsi="Cambria"/>
      </w:rPr>
      <w:tab/>
      <w:t xml:space="preserve">Page </w:t>
    </w:r>
    <w:r w:rsidRPr="00A245CD">
      <w:rPr>
        <w:rFonts w:ascii="Cambria" w:hAnsi="Cambria"/>
      </w:rPr>
      <w:fldChar w:fldCharType="begin"/>
    </w:r>
    <w:r>
      <w:instrText>PAGE</w:instrText>
    </w:r>
    <w:r>
      <w:fldChar w:fldCharType="separate"/>
    </w:r>
    <w:r w:rsidR="003A77FD">
      <w:rPr>
        <w:noProof/>
      </w:rPr>
      <w:t>1</w:t>
    </w:r>
    <w:r>
      <w:fldChar w:fldCharType="end"/>
    </w:r>
  </w:p>
  <w:p w:rsidR="001012C2" w:rsidRDefault="00B04234">
    <w:pPr>
      <w:pStyle w:val="Pieddepage"/>
      <w:rPr>
        <w:rFonts w:ascii="Cambria" w:hAnsi="Cambria"/>
        <w:b/>
        <w:bCs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2" w:rsidRDefault="00B042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3D"/>
    <w:multiLevelType w:val="multilevel"/>
    <w:tmpl w:val="B7CA7312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">
    <w:nsid w:val="098A2E18"/>
    <w:multiLevelType w:val="multilevel"/>
    <w:tmpl w:val="2A626B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7747979"/>
    <w:multiLevelType w:val="multilevel"/>
    <w:tmpl w:val="EAA68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791A52"/>
    <w:multiLevelType w:val="multilevel"/>
    <w:tmpl w:val="FF96A7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764"/>
    <w:rsid w:val="003A77FD"/>
    <w:rsid w:val="007678FA"/>
    <w:rsid w:val="009E7CDE"/>
    <w:rsid w:val="00B04234"/>
    <w:rsid w:val="00B34764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CDE"/>
    <w:pPr>
      <w:suppressAutoHyphens/>
    </w:pPr>
    <w:rPr>
      <w:rFonts w:ascii="Liberation Sans" w:eastAsia="SimSun" w:hAnsi="Liberation Sans" w:cs="Liberation Sans"/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E7CDE"/>
    <w:pPr>
      <w:suppressLineNumbers/>
    </w:pPr>
  </w:style>
  <w:style w:type="paragraph" w:styleId="Pieddepage">
    <w:name w:val="footer"/>
    <w:basedOn w:val="Normal"/>
    <w:link w:val="PieddepageCar"/>
    <w:rsid w:val="009E7CDE"/>
  </w:style>
  <w:style w:type="character" w:customStyle="1" w:styleId="PieddepageCar">
    <w:name w:val="Pied de page Car"/>
    <w:basedOn w:val="Policepardfaut"/>
    <w:link w:val="Pieddepage"/>
    <w:rsid w:val="009E7CDE"/>
    <w:rPr>
      <w:rFonts w:ascii="Liberation Sans" w:eastAsia="SimSun" w:hAnsi="Liberation Sans" w:cs="Liberation Sans"/>
      <w:color w:val="00000A"/>
      <w:sz w:val="24"/>
      <w:szCs w:val="24"/>
      <w:lang w:eastAsia="ar-SA"/>
    </w:rPr>
  </w:style>
  <w:style w:type="paragraph" w:styleId="En-tte">
    <w:name w:val="header"/>
    <w:basedOn w:val="Normal"/>
    <w:link w:val="En-tteCar"/>
    <w:rsid w:val="009E7CD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rsid w:val="009E7CDE"/>
    <w:rPr>
      <w:rFonts w:ascii="Liberation Sans" w:eastAsia="SimSun" w:hAnsi="Liberation Sans" w:cs="Liberation Sans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2</cp:revision>
  <dcterms:created xsi:type="dcterms:W3CDTF">2017-06-10T11:00:00Z</dcterms:created>
  <dcterms:modified xsi:type="dcterms:W3CDTF">2017-06-18T14:26:00Z</dcterms:modified>
</cp:coreProperties>
</file>