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0"/>
        <w:gridCol w:w="7850"/>
      </w:tblGrid>
      <w:tr w:rsidR="00B10717">
        <w:trPr>
          <w:trHeight w:val="786"/>
        </w:trPr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17" w:rsidRDefault="00E85472">
            <w:pPr>
              <w:pStyle w:val="TableContents"/>
            </w:pPr>
            <w:r>
              <w:t>Thème</w:t>
            </w:r>
            <w:proofErr w:type="gramStart"/>
            <w:r>
              <w:t> :</w:t>
            </w:r>
            <w:r w:rsidR="00DD1820">
              <w:t>La</w:t>
            </w:r>
            <w:proofErr w:type="gramEnd"/>
            <w:r w:rsidR="00DD1820">
              <w:t xml:space="preserve"> dynamique interne de la Terre</w:t>
            </w:r>
          </w:p>
          <w:p w:rsidR="00B10717" w:rsidRDefault="00E85472">
            <w:pPr>
              <w:pStyle w:val="TableContents"/>
            </w:pPr>
            <w:r>
              <w:t>Atelier</w:t>
            </w:r>
            <w:r w:rsidR="00DD1820">
              <w:t xml:space="preserve"> 4</w:t>
            </w:r>
            <w:proofErr w:type="gramStart"/>
            <w:r>
              <w:t> :</w:t>
            </w:r>
            <w:r w:rsidR="00DD1820">
              <w:t>La</w:t>
            </w:r>
            <w:proofErr w:type="gramEnd"/>
            <w:r w:rsidR="00DD1820">
              <w:t xml:space="preserve"> structure du globe terrestre ; apports des études sismiques et thermiques</w:t>
            </w:r>
          </w:p>
        </w:tc>
        <w:tc>
          <w:tcPr>
            <w:tcW w:w="7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17" w:rsidRDefault="00E85472">
            <w:pPr>
              <w:pStyle w:val="TableContents"/>
            </w:pPr>
            <w:r>
              <w:t>Acquis :</w:t>
            </w:r>
          </w:p>
          <w:p w:rsidR="00DD1820" w:rsidRPr="00DD1820" w:rsidRDefault="00DD1820" w:rsidP="00DD1820">
            <w:pPr>
              <w:rPr>
                <w:sz w:val="16"/>
                <w:szCs w:val="16"/>
              </w:rPr>
            </w:pPr>
            <w:r w:rsidRPr="00DD1820">
              <w:rPr>
                <w:sz w:val="16"/>
                <w:szCs w:val="16"/>
              </w:rPr>
              <w:t>Cycle 3 :</w:t>
            </w:r>
          </w:p>
          <w:p w:rsidR="00DD1820" w:rsidRPr="00DD1820" w:rsidRDefault="00DD1820" w:rsidP="00DD1820">
            <w:pPr>
              <w:pStyle w:val="TableContents"/>
              <w:rPr>
                <w:sz w:val="16"/>
                <w:szCs w:val="16"/>
              </w:rPr>
            </w:pPr>
            <w:r w:rsidRPr="00DD1820">
              <w:rPr>
                <w:rStyle w:val="StrongEmphasis"/>
                <w:sz w:val="16"/>
                <w:szCs w:val="16"/>
              </w:rPr>
              <w:t>Partie 4 : La planète Terre. Les êtres vivants dans leur environnement</w:t>
            </w:r>
          </w:p>
          <w:p w:rsidR="00DD1820" w:rsidRPr="00DD1820" w:rsidRDefault="00DD1820" w:rsidP="00DD1820">
            <w:pPr>
              <w:rPr>
                <w:sz w:val="16"/>
                <w:szCs w:val="16"/>
              </w:rPr>
            </w:pPr>
            <w:r w:rsidRPr="00DD1820">
              <w:rPr>
                <w:sz w:val="16"/>
                <w:szCs w:val="16"/>
              </w:rPr>
              <w:t xml:space="preserve">- Relier certains phénomènes naturels (tempêtes, inondations, tremblements de terre) à des risques pour les populations. </w:t>
            </w:r>
          </w:p>
          <w:p w:rsidR="00DD1820" w:rsidRPr="00DD1820" w:rsidRDefault="00DD1820" w:rsidP="00DD1820">
            <w:pPr>
              <w:rPr>
                <w:sz w:val="16"/>
                <w:szCs w:val="16"/>
              </w:rPr>
            </w:pPr>
            <w:r w:rsidRPr="00DD1820">
              <w:rPr>
                <w:sz w:val="16"/>
                <w:szCs w:val="16"/>
              </w:rPr>
              <w:t xml:space="preserve"> *  Phénomènes géologiques traduisant activité interne de la terre (volcanisme, tremblements de terre...). </w:t>
            </w:r>
          </w:p>
          <w:p w:rsidR="00DD1820" w:rsidRPr="00DD1820" w:rsidRDefault="00DD1820" w:rsidP="00DD1820">
            <w:pPr>
              <w:rPr>
                <w:sz w:val="16"/>
                <w:szCs w:val="16"/>
              </w:rPr>
            </w:pPr>
            <w:r w:rsidRPr="00DD1820">
              <w:rPr>
                <w:sz w:val="16"/>
                <w:szCs w:val="16"/>
              </w:rPr>
              <w:t xml:space="preserve">Cycle 4 : </w:t>
            </w:r>
          </w:p>
          <w:p w:rsidR="00DD1820" w:rsidRPr="00DD1820" w:rsidRDefault="00DD1820" w:rsidP="00DD1820">
            <w:pP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è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 :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5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an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è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te T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erre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,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’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v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ro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3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6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’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7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3"/>
                <w:w w:val="99"/>
                <w:sz w:val="16"/>
                <w:szCs w:val="16"/>
              </w:rPr>
              <w:t>hu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w w:val="99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2"/>
                <w:w w:val="99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 xml:space="preserve">e : </w:t>
            </w:r>
          </w:p>
          <w:p w:rsidR="00DD1820" w:rsidRPr="00DD1820" w:rsidRDefault="00DD1820" w:rsidP="00DD1820">
            <w:pPr>
              <w:spacing w:line="182" w:lineRule="exact"/>
              <w:ind w:left="100" w:right="58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1820">
              <w:rPr>
                <w:rFonts w:asciiTheme="minorHAnsi" w:eastAsia="Times New Roman" w:hAnsiTheme="minorHAnsi" w:cstheme="minorHAnsi"/>
                <w:color w:val="0E879E"/>
                <w:sz w:val="16"/>
                <w:szCs w:val="16"/>
              </w:rPr>
              <w:t>•</w:t>
            </w:r>
            <w:r w:rsidRPr="00DD1820">
              <w:rPr>
                <w:rFonts w:asciiTheme="minorHAnsi" w:eastAsia="Times New Roman" w:hAnsiTheme="minorHAnsi" w:cstheme="minorHAnsi"/>
                <w:color w:val="0E879E"/>
                <w:spacing w:val="9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tt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5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8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 xml:space="preserve"> 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uvem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de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lit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ho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è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5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’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hé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è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5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g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5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g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9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ave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v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9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;</w:t>
            </w:r>
          </w:p>
          <w:p w:rsidR="00DD1820" w:rsidRPr="00DD1820" w:rsidRDefault="00DD1820" w:rsidP="00DD1820">
            <w:pPr>
              <w:spacing w:before="1"/>
              <w:ind w:left="100" w:right="58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1820">
              <w:rPr>
                <w:rFonts w:asciiTheme="minorHAnsi" w:eastAsia="Times New Roman" w:hAnsiTheme="minorHAnsi" w:cstheme="minorHAnsi"/>
                <w:color w:val="0E879E"/>
                <w:sz w:val="16"/>
                <w:szCs w:val="16"/>
              </w:rPr>
              <w:t>•</w:t>
            </w:r>
            <w:r w:rsidRPr="00DD1820">
              <w:rPr>
                <w:rFonts w:asciiTheme="minorHAnsi" w:eastAsia="Times New Roman" w:hAnsiTheme="minorHAnsi" w:cstheme="minorHAnsi"/>
                <w:color w:val="0E879E"/>
                <w:spacing w:val="5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2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5"/>
                <w:sz w:val="16"/>
                <w:szCs w:val="16"/>
              </w:rPr>
              <w:t>f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,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5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uveme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8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b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 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x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xp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’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gn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t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’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5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uve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8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1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5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;</w:t>
            </w:r>
          </w:p>
          <w:p w:rsidR="00DD1820" w:rsidRPr="00DD1820" w:rsidRDefault="00DD1820" w:rsidP="00DD1820">
            <w:pPr>
              <w:spacing w:before="2" w:line="182" w:lineRule="exact"/>
              <w:ind w:left="100" w:right="58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1820">
              <w:rPr>
                <w:rFonts w:asciiTheme="minorHAnsi" w:eastAsia="Times New Roman" w:hAnsiTheme="minorHAnsi" w:cstheme="minorHAnsi"/>
                <w:color w:val="0E879E"/>
                <w:sz w:val="16"/>
                <w:szCs w:val="16"/>
              </w:rPr>
              <w:t>•</w:t>
            </w:r>
            <w:r w:rsidRPr="00DD1820">
              <w:rPr>
                <w:rFonts w:asciiTheme="minorHAnsi" w:eastAsia="Times New Roman" w:hAnsiTheme="minorHAnsi" w:cstheme="minorHAnsi"/>
                <w:color w:val="0E879E"/>
                <w:spacing w:val="4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v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,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eme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 xml:space="preserve"> 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x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f,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x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z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one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   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8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   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5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onv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gen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   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9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  </w:t>
            </w:r>
            <w:proofErr w:type="gramStart"/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5"/>
                <w:sz w:val="16"/>
                <w:szCs w:val="16"/>
              </w:rPr>
              <w:t>(</w:t>
            </w:r>
            <w:proofErr w:type="gramEnd"/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ue</w:t>
            </w:r>
            <w:r w:rsidRPr="00DD1820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  <w:r w:rsidRPr="00DD1820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 xml:space="preserve"> l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 xml:space="preserve"> v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,</w:t>
            </w:r>
            <w:r w:rsidRPr="00DD1820">
              <w:rPr>
                <w:rFonts w:asciiTheme="minorHAnsi" w:eastAsia="Times New Roman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t 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f</w:t>
            </w:r>
            <w:r w:rsidRPr="00DD1820">
              <w:rPr>
                <w:rFonts w:asciiTheme="minorHAnsi" w:eastAsia="Times New Roman" w:hAnsiTheme="minorHAnsi" w:cstheme="minorHAnsi"/>
                <w:spacing w:val="-5"/>
                <w:sz w:val="16"/>
                <w:szCs w:val="16"/>
              </w:rPr>
              <w:t>f</w:t>
            </w:r>
            <w:r w:rsidRPr="00DD1820">
              <w:rPr>
                <w:rFonts w:asciiTheme="minorHAnsi" w:eastAsia="Times New Roman" w:hAnsiTheme="minorHAnsi" w:cstheme="minorHAnsi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-5"/>
                <w:sz w:val="16"/>
                <w:szCs w:val="16"/>
              </w:rPr>
              <w:t>f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au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  <w:r w:rsidRPr="00DD1820">
              <w:rPr>
                <w:rFonts w:asciiTheme="minorHAnsi" w:eastAsia="Times New Roman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zo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 xml:space="preserve"> d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v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5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g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enc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5"/>
                <w:sz w:val="16"/>
                <w:szCs w:val="16"/>
              </w:rPr>
              <w:t>(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do</w:t>
            </w:r>
            <w:r w:rsidRPr="00DD1820">
              <w:rPr>
                <w:rFonts w:asciiTheme="minorHAnsi" w:eastAsia="Times New Roman" w:hAnsiTheme="minorHAnsi" w:cstheme="minorHAnsi"/>
                <w:spacing w:val="5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oc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é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an</w:t>
            </w:r>
            <w:r w:rsidRPr="00DD1820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  <w:r w:rsidRPr="00DD1820">
              <w:rPr>
                <w:rFonts w:asciiTheme="minorHAnsi" w:eastAsia="Times New Roman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;</w:t>
            </w:r>
          </w:p>
          <w:p w:rsidR="00DD1820" w:rsidRPr="00DD1820" w:rsidRDefault="00DD1820" w:rsidP="00DD1820">
            <w:pPr>
              <w:spacing w:line="181" w:lineRule="exact"/>
              <w:ind w:left="100" w:right="6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DD1820">
              <w:rPr>
                <w:rFonts w:asciiTheme="minorHAnsi" w:eastAsia="Times New Roman" w:hAnsiTheme="minorHAnsi" w:cstheme="minorHAnsi"/>
                <w:color w:val="0E879E"/>
                <w:sz w:val="16"/>
                <w:szCs w:val="16"/>
              </w:rPr>
              <w:t>•</w:t>
            </w:r>
            <w:r w:rsidRPr="00DD1820">
              <w:rPr>
                <w:rFonts w:asciiTheme="minorHAnsi" w:eastAsia="Times New Roman" w:hAnsiTheme="minorHAnsi" w:cstheme="minorHAnsi"/>
                <w:color w:val="0E879E"/>
                <w:spacing w:val="33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34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3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3"/>
                <w:sz w:val="16"/>
                <w:szCs w:val="16"/>
              </w:rPr>
              <w:t>c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de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31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6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ue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8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à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3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37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4"/>
                <w:sz w:val="16"/>
                <w:szCs w:val="16"/>
              </w:rPr>
              <w:t>s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p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2"/>
                <w:sz w:val="16"/>
                <w:szCs w:val="16"/>
              </w:rPr>
              <w:t>a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1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32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pacing w:val="-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</w:t>
            </w:r>
            <w:r w:rsidRPr="00DD1820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l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’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én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g</w:t>
            </w:r>
            <w:r w:rsidRPr="00DD1820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h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m</w:t>
            </w:r>
            <w:r w:rsidRPr="00DD1820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q</w:t>
            </w:r>
            <w:r w:rsidRPr="00DD1820">
              <w:rPr>
                <w:rFonts w:asciiTheme="minorHAnsi" w:eastAsia="Times New Roman" w:hAnsiTheme="minorHAnsi" w:cstheme="minorHAnsi"/>
                <w:spacing w:val="7"/>
                <w:sz w:val="16"/>
                <w:szCs w:val="16"/>
              </w:rPr>
              <w:t>u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d</w:t>
            </w:r>
            <w:r w:rsidRPr="00DD1820">
              <w:rPr>
                <w:rFonts w:asciiTheme="minorHAnsi" w:eastAsia="Times New Roman" w:hAnsiTheme="minorHAnsi" w:cstheme="minorHAnsi"/>
                <w:spacing w:val="5"/>
                <w:sz w:val="16"/>
                <w:szCs w:val="16"/>
              </w:rPr>
              <w:t>’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o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g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i</w:t>
            </w:r>
            <w:r w:rsidRPr="00DD1820">
              <w:rPr>
                <w:rFonts w:asciiTheme="minorHAnsi" w:eastAsia="Times New Roman" w:hAnsiTheme="minorHAnsi" w:cstheme="minorHAnsi"/>
                <w:spacing w:val="-2"/>
                <w:sz w:val="16"/>
                <w:szCs w:val="16"/>
              </w:rPr>
              <w:t>n</w:t>
            </w:r>
            <w:r w:rsidRPr="00DD1820"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  <w:t>t</w:t>
            </w:r>
            <w:r w:rsidRPr="00DD1820">
              <w:rPr>
                <w:rFonts w:asciiTheme="minorHAnsi" w:eastAsia="Times New Roman" w:hAnsiTheme="minorHAnsi" w:cstheme="minorHAnsi"/>
                <w:spacing w:val="-3"/>
                <w:sz w:val="16"/>
                <w:szCs w:val="16"/>
              </w:rPr>
              <w:t>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r</w:t>
            </w:r>
            <w:r w:rsidRPr="00DD1820">
              <w:rPr>
                <w:rFonts w:asciiTheme="minorHAnsi" w:eastAsia="Times New Roman" w:hAnsiTheme="minorHAnsi" w:cstheme="minorHAnsi"/>
                <w:spacing w:val="2"/>
                <w:sz w:val="16"/>
                <w:szCs w:val="16"/>
              </w:rPr>
              <w:t>ne</w:t>
            </w:r>
            <w:r w:rsidRPr="00DD1820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B10717" w:rsidRDefault="00B10717">
            <w:pPr>
              <w:pStyle w:val="TableContents"/>
            </w:pPr>
          </w:p>
          <w:p w:rsidR="00B10717" w:rsidRDefault="00E85472">
            <w:pPr>
              <w:pStyle w:val="TableContents"/>
            </w:pPr>
            <w:r>
              <w:t xml:space="preserve">Types d'évaluations diagnostiques </w:t>
            </w:r>
            <w:proofErr w:type="gramStart"/>
            <w:r>
              <w:t>imaginables:</w:t>
            </w:r>
            <w:proofErr w:type="gramEnd"/>
          </w:p>
          <w:p w:rsidR="002F727D" w:rsidRPr="002F727D" w:rsidRDefault="002F727D">
            <w:pPr>
              <w:pStyle w:val="TableContents"/>
              <w:rPr>
                <w:sz w:val="18"/>
                <w:szCs w:val="18"/>
              </w:rPr>
            </w:pPr>
            <w:r w:rsidRPr="002F727D">
              <w:rPr>
                <w:sz w:val="18"/>
                <w:szCs w:val="18"/>
              </w:rPr>
              <w:t xml:space="preserve">Schéma muet structure du globe (lithosphère-asthénosphère) </w:t>
            </w:r>
          </w:p>
          <w:p w:rsidR="002F727D" w:rsidRDefault="002F727D">
            <w:pPr>
              <w:pStyle w:val="TableContents"/>
            </w:pPr>
            <w:r w:rsidRPr="002F727D">
              <w:rPr>
                <w:sz w:val="18"/>
                <w:szCs w:val="18"/>
              </w:rPr>
              <w:t>Schéma muet séisme (foyer, ondes sismiques)</w:t>
            </w:r>
            <w:r>
              <w:t xml:space="preserve"> </w:t>
            </w:r>
          </w:p>
        </w:tc>
      </w:tr>
      <w:tr w:rsidR="00B10717">
        <w:trPr>
          <w:trHeight w:val="2129"/>
        </w:trPr>
        <w:tc>
          <w:tcPr>
            <w:tcW w:w="7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17" w:rsidRDefault="00E85472">
            <w:pPr>
              <w:pStyle w:val="TableContents"/>
            </w:pPr>
            <w:r>
              <w:t>Idées essentielles :</w:t>
            </w:r>
          </w:p>
          <w:p w:rsidR="00B10717" w:rsidRDefault="002F727D" w:rsidP="002F727D">
            <w:pPr>
              <w:pStyle w:val="TableContents"/>
              <w:numPr>
                <w:ilvl w:val="0"/>
                <w:numId w:val="1"/>
              </w:numPr>
            </w:pPr>
            <w:proofErr w:type="spellStart"/>
            <w:r>
              <w:t>Stucture</w:t>
            </w:r>
            <w:proofErr w:type="spellEnd"/>
            <w:r>
              <w:t xml:space="preserve"> interne du globe</w:t>
            </w:r>
          </w:p>
          <w:p w:rsidR="002F727D" w:rsidRDefault="002F727D" w:rsidP="002F727D">
            <w:pPr>
              <w:pStyle w:val="TableContents"/>
              <w:ind w:left="720"/>
            </w:pPr>
            <w:r>
              <w:t>Moyens pour déterminer cette structure : études sismiques</w:t>
            </w:r>
          </w:p>
          <w:p w:rsidR="002F727D" w:rsidRDefault="002F727D" w:rsidP="002F727D">
            <w:pPr>
              <w:pStyle w:val="TableContents"/>
              <w:ind w:left="720"/>
            </w:pPr>
            <w:r>
              <w:t>(</w:t>
            </w:r>
            <w:proofErr w:type="gramStart"/>
            <w:r>
              <w:t>discontinuités</w:t>
            </w:r>
            <w:proofErr w:type="gramEnd"/>
            <w:r>
              <w:t xml:space="preserve">, zone d’ombre, différences lithosphère/asthénosphère, réflexion, réfraction) </w:t>
            </w:r>
          </w:p>
          <w:p w:rsidR="009E0529" w:rsidRDefault="009E0529" w:rsidP="002F727D">
            <w:pPr>
              <w:pStyle w:val="TableContents"/>
              <w:numPr>
                <w:ilvl w:val="0"/>
                <w:numId w:val="1"/>
              </w:numPr>
            </w:pPr>
            <w:r>
              <w:t>Types de transferts thermiques à l’intérieur du globe</w:t>
            </w:r>
          </w:p>
          <w:p w:rsidR="002F727D" w:rsidRDefault="009E0529" w:rsidP="009E0529">
            <w:pPr>
              <w:pStyle w:val="TableContents"/>
              <w:ind w:left="720"/>
            </w:pPr>
            <w:r>
              <w:t>En surface par conduction : gradient géothermique fort</w:t>
            </w:r>
          </w:p>
          <w:p w:rsidR="00B10717" w:rsidRDefault="009E0529">
            <w:pPr>
              <w:pStyle w:val="TableContents"/>
            </w:pPr>
            <w:r>
              <w:t xml:space="preserve">            En profondeur (</w:t>
            </w:r>
            <w:proofErr w:type="gramStart"/>
            <w:r>
              <w:t>manteau )</w:t>
            </w:r>
            <w:proofErr w:type="gramEnd"/>
            <w:r>
              <w:t xml:space="preserve"> par convection : gradient géothermique faible</w:t>
            </w:r>
          </w:p>
          <w:p w:rsidR="00B10717" w:rsidRDefault="00B10717">
            <w:pPr>
              <w:pStyle w:val="TableContents"/>
            </w:pPr>
          </w:p>
          <w:p w:rsidR="00B10717" w:rsidRDefault="00E85472">
            <w:pPr>
              <w:pStyle w:val="TableContents"/>
            </w:pPr>
            <w:r>
              <w:t>Limites (en plus de celles définies par le programme) :</w:t>
            </w:r>
          </w:p>
        </w:tc>
        <w:tc>
          <w:tcPr>
            <w:tcW w:w="7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85F" w:rsidRDefault="00BA385F"/>
        </w:tc>
      </w:tr>
      <w:tr w:rsidR="00B10717">
        <w:trPr>
          <w:trHeight w:val="1429"/>
        </w:trPr>
        <w:tc>
          <w:tcPr>
            <w:tcW w:w="7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85F" w:rsidRDefault="00BA385F"/>
        </w:tc>
        <w:tc>
          <w:tcPr>
            <w:tcW w:w="7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17" w:rsidRDefault="00E85472">
            <w:pPr>
              <w:pStyle w:val="TableContents"/>
            </w:pPr>
            <w:r>
              <w:t>Capacités mobilisées :</w:t>
            </w:r>
          </w:p>
          <w:p w:rsidR="00B10717" w:rsidRPr="002F727D" w:rsidRDefault="009C5626">
            <w:pPr>
              <w:pStyle w:val="TableContents"/>
              <w:rPr>
                <w:sz w:val="18"/>
                <w:szCs w:val="18"/>
              </w:rPr>
            </w:pPr>
            <w:r w:rsidRPr="002F727D">
              <w:rPr>
                <w:sz w:val="18"/>
                <w:szCs w:val="18"/>
              </w:rPr>
              <w:t>Comprendre le lien entre les phénomènes naturels et le langage mathématique</w:t>
            </w:r>
          </w:p>
          <w:p w:rsidR="009C5626" w:rsidRDefault="009C5626">
            <w:pPr>
              <w:pStyle w:val="TableContents"/>
              <w:rPr>
                <w:sz w:val="18"/>
                <w:szCs w:val="18"/>
              </w:rPr>
            </w:pPr>
            <w:r w:rsidRPr="002F727D">
              <w:rPr>
                <w:sz w:val="18"/>
                <w:szCs w:val="18"/>
              </w:rPr>
              <w:t>Modéliser, mettre en œuvre un protocole, interpréter des résultats et en tirer des conclusions</w:t>
            </w:r>
          </w:p>
          <w:p w:rsidR="002F727D" w:rsidRDefault="002F727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des outils numériques</w:t>
            </w:r>
          </w:p>
          <w:p w:rsidR="002F727D" w:rsidRDefault="002F727D">
            <w:pPr>
              <w:pStyle w:val="TableContents"/>
            </w:pPr>
            <w:r>
              <w:rPr>
                <w:sz w:val="18"/>
                <w:szCs w:val="18"/>
              </w:rPr>
              <w:t>Coopérer et communiquer ses résultats</w:t>
            </w:r>
          </w:p>
        </w:tc>
      </w:tr>
      <w:tr w:rsidR="00B10717">
        <w:trPr>
          <w:trHeight w:val="5527"/>
        </w:trPr>
        <w:tc>
          <w:tcPr>
            <w:tcW w:w="7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17" w:rsidRDefault="00E85472">
            <w:pPr>
              <w:pStyle w:val="TableContents"/>
            </w:pPr>
            <w:r>
              <w:t>Situations déclenchantes possibles :</w:t>
            </w:r>
          </w:p>
          <w:p w:rsidR="00B10717" w:rsidRPr="009E0529" w:rsidRDefault="009E0529">
            <w:pPr>
              <w:pStyle w:val="TableContents"/>
              <w:rPr>
                <w:sz w:val="18"/>
                <w:szCs w:val="18"/>
              </w:rPr>
            </w:pPr>
            <w:r w:rsidRPr="009E0529">
              <w:rPr>
                <w:sz w:val="18"/>
                <w:szCs w:val="18"/>
              </w:rPr>
              <w:t xml:space="preserve">Forage </w:t>
            </w:r>
            <w:proofErr w:type="gramStart"/>
            <w:r w:rsidRPr="009E0529">
              <w:rPr>
                <w:sz w:val="18"/>
                <w:szCs w:val="18"/>
              </w:rPr>
              <w:t>le  plus</w:t>
            </w:r>
            <w:proofErr w:type="gramEnd"/>
            <w:r w:rsidRPr="009E0529">
              <w:rPr>
                <w:sz w:val="18"/>
                <w:szCs w:val="18"/>
              </w:rPr>
              <w:t xml:space="preserve"> profond ne donne accès qu’aux 12 premiers kms, le rayon de la Terre est estimé à 6375 kms.</w:t>
            </w:r>
          </w:p>
          <w:p w:rsidR="009E0529" w:rsidRPr="009E0529" w:rsidRDefault="009E0529">
            <w:pPr>
              <w:pStyle w:val="TableContents"/>
              <w:rPr>
                <w:sz w:val="18"/>
                <w:szCs w:val="18"/>
              </w:rPr>
            </w:pPr>
            <w:r w:rsidRPr="009E0529">
              <w:rPr>
                <w:sz w:val="18"/>
                <w:szCs w:val="18"/>
              </w:rPr>
              <w:t>Par quels moyens indirects a-t-on pu déterminer la structure interne du globe ?</w:t>
            </w:r>
          </w:p>
          <w:p w:rsidR="00B10717" w:rsidRPr="009E0529" w:rsidRDefault="00B10717">
            <w:pPr>
              <w:pStyle w:val="TableContents"/>
              <w:rPr>
                <w:sz w:val="18"/>
                <w:szCs w:val="18"/>
              </w:rPr>
            </w:pPr>
          </w:p>
          <w:p w:rsidR="00B10717" w:rsidRDefault="00B10717">
            <w:pPr>
              <w:pStyle w:val="TableContents"/>
            </w:pPr>
          </w:p>
          <w:p w:rsidR="00B10717" w:rsidRDefault="00E85472">
            <w:pPr>
              <w:pStyle w:val="TableContents"/>
            </w:pPr>
            <w:r>
              <w:t>Ébauche de progression avec les problématiques, la démarche et le découpage temporel :</w:t>
            </w:r>
          </w:p>
          <w:p w:rsidR="009E0529" w:rsidRDefault="00963765">
            <w:pPr>
              <w:pStyle w:val="TableContents"/>
            </w:pPr>
            <w:r>
              <w:t>Durée : 1 semaine 2H TP et 2H cours</w:t>
            </w:r>
          </w:p>
          <w:p w:rsidR="00963765" w:rsidRPr="004138BE" w:rsidRDefault="00963765" w:rsidP="00963765">
            <w:pPr>
              <w:pStyle w:val="TableContent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Ondes sismiques et structure interne du globe</w:t>
            </w:r>
          </w:p>
          <w:p w:rsidR="00963765" w:rsidRPr="004138BE" w:rsidRDefault="00963765" w:rsidP="0096376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TP</w:t>
            </w:r>
            <w:r w:rsidRPr="004138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38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apports de la sismologie à la connaissance de la structure interne du globe terrestre</w:t>
            </w:r>
          </w:p>
          <w:p w:rsidR="00963765" w:rsidRPr="004138BE" w:rsidRDefault="00963765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 xml:space="preserve">Cours : explication du modèle PREM (graphique de l’évolution de la vitesse des ondes en fonction de la profondeur) </w:t>
            </w:r>
          </w:p>
          <w:p w:rsidR="00963765" w:rsidRPr="004138BE" w:rsidRDefault="00963765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Schéma bilan structure du globe (discontinuité, matériau, couches, rhéologie)</w:t>
            </w:r>
          </w:p>
          <w:p w:rsidR="00963765" w:rsidRPr="004138BE" w:rsidRDefault="00963765" w:rsidP="00963765">
            <w:pPr>
              <w:pStyle w:val="TableContents"/>
              <w:ind w:left="1080"/>
              <w:rPr>
                <w:sz w:val="18"/>
                <w:szCs w:val="18"/>
              </w:rPr>
            </w:pPr>
          </w:p>
          <w:p w:rsidR="00963765" w:rsidRPr="004138BE" w:rsidRDefault="00963765" w:rsidP="00963765">
            <w:pPr>
              <w:pStyle w:val="TableContent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Transferts de chaleur à l’intérieur du globe</w:t>
            </w:r>
          </w:p>
          <w:p w:rsidR="00963765" w:rsidRPr="004138BE" w:rsidRDefault="00963765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Comment évolue la température au sein du globe ?</w:t>
            </w:r>
          </w:p>
          <w:p w:rsidR="00963765" w:rsidRPr="004138BE" w:rsidRDefault="00963765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Analyse du géotherme : différenciation des zones à faible (</w:t>
            </w:r>
            <w:proofErr w:type="gramStart"/>
            <w:r w:rsidRPr="004138BE">
              <w:rPr>
                <w:sz w:val="18"/>
                <w:szCs w:val="18"/>
              </w:rPr>
              <w:t>manteau)  ou</w:t>
            </w:r>
            <w:proofErr w:type="gramEnd"/>
            <w:r w:rsidRPr="004138BE">
              <w:rPr>
                <w:sz w:val="18"/>
                <w:szCs w:val="18"/>
              </w:rPr>
              <w:t xml:space="preserve"> fort (lithosphère) gradient</w:t>
            </w:r>
          </w:p>
          <w:p w:rsidR="00422993" w:rsidRPr="004138BE" w:rsidRDefault="00422993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Comment expliquer ces variations de gradients ?</w:t>
            </w:r>
          </w:p>
          <w:p w:rsidR="00422993" w:rsidRPr="004138BE" w:rsidRDefault="00422993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2 modes de transfert : conduction (lithosphère</w:t>
            </w:r>
            <w:proofErr w:type="gramStart"/>
            <w:r w:rsidRPr="004138BE">
              <w:rPr>
                <w:sz w:val="18"/>
                <w:szCs w:val="18"/>
              </w:rPr>
              <w:t>) ,</w:t>
            </w:r>
            <w:proofErr w:type="gramEnd"/>
            <w:r w:rsidRPr="004138BE">
              <w:rPr>
                <w:sz w:val="18"/>
                <w:szCs w:val="18"/>
              </w:rPr>
              <w:t xml:space="preserve"> ou convection (manteau) </w:t>
            </w:r>
          </w:p>
          <w:p w:rsidR="00422993" w:rsidRPr="004138BE" w:rsidRDefault="00422993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Vidéo modélisation de la convection</w:t>
            </w:r>
          </w:p>
          <w:p w:rsidR="004138BE" w:rsidRPr="004138BE" w:rsidRDefault="004138BE" w:rsidP="00963765">
            <w:pPr>
              <w:pStyle w:val="TableContents"/>
              <w:ind w:left="1080"/>
              <w:rPr>
                <w:sz w:val="18"/>
                <w:szCs w:val="18"/>
              </w:rPr>
            </w:pPr>
            <w:r w:rsidRPr="004138BE">
              <w:rPr>
                <w:sz w:val="18"/>
                <w:szCs w:val="18"/>
              </w:rPr>
              <w:t>Anomalie de la vitesse des ondes avec la profondeur (tomographie) confirme la convection</w:t>
            </w:r>
          </w:p>
          <w:p w:rsidR="00963765" w:rsidRDefault="00963765" w:rsidP="00963765">
            <w:pPr>
              <w:pStyle w:val="TableContents"/>
              <w:ind w:left="1080"/>
            </w:pPr>
          </w:p>
        </w:tc>
        <w:tc>
          <w:tcPr>
            <w:tcW w:w="7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17" w:rsidRDefault="00E85472">
            <w:pPr>
              <w:pStyle w:val="TableContents"/>
            </w:pPr>
            <w:r>
              <w:t>Activités envisageables (TP, exercices, sortie pédagogique) :</w:t>
            </w:r>
          </w:p>
          <w:p w:rsidR="00B10717" w:rsidRDefault="00E85472">
            <w:pPr>
              <w:pStyle w:val="TableContents"/>
            </w:pPr>
            <w:r>
              <w:t>(Exemples contextualisés localement si possible)</w:t>
            </w:r>
          </w:p>
          <w:p w:rsidR="00963765" w:rsidRPr="00144FFA" w:rsidRDefault="00963765" w:rsidP="0096376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TP </w:t>
            </w: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apports de la sismologie à la connaissance de la structure interne du globe terrestre</w:t>
            </w:r>
          </w:p>
          <w:p w:rsidR="00963765" w:rsidRPr="00144FFA" w:rsidRDefault="004138BE">
            <w:pPr>
              <w:pStyle w:val="TableContents"/>
              <w:rPr>
                <w:sz w:val="18"/>
                <w:szCs w:val="18"/>
              </w:rPr>
            </w:pPr>
            <w:r w:rsidRPr="00144FFA">
              <w:rPr>
                <w:sz w:val="18"/>
                <w:szCs w:val="18"/>
              </w:rPr>
              <w:t xml:space="preserve">Partie 1 : étude à partir </w:t>
            </w:r>
            <w:proofErr w:type="spellStart"/>
            <w:r w:rsidRPr="00144FFA">
              <w:rPr>
                <w:sz w:val="18"/>
                <w:szCs w:val="18"/>
              </w:rPr>
              <w:t>d’audacity</w:t>
            </w:r>
            <w:proofErr w:type="spellEnd"/>
            <w:r w:rsidRPr="00144FFA">
              <w:rPr>
                <w:sz w:val="18"/>
                <w:szCs w:val="18"/>
              </w:rPr>
              <w:t xml:space="preserve"> des variations de la vitesse des ondes en fonction de la </w:t>
            </w:r>
            <w:proofErr w:type="gramStart"/>
            <w:r w:rsidRPr="00144FFA">
              <w:rPr>
                <w:sz w:val="18"/>
                <w:szCs w:val="18"/>
              </w:rPr>
              <w:t>nature,  de</w:t>
            </w:r>
            <w:proofErr w:type="gramEnd"/>
            <w:r w:rsidRPr="00144FFA">
              <w:rPr>
                <w:sz w:val="18"/>
                <w:szCs w:val="18"/>
              </w:rPr>
              <w:t xml:space="preserve"> la densité, de la température </w:t>
            </w:r>
            <w:r w:rsidRPr="00144FFA">
              <w:rPr>
                <w:sz w:val="18"/>
                <w:szCs w:val="18"/>
              </w:rPr>
              <w:t>des matériaux</w:t>
            </w:r>
          </w:p>
          <w:p w:rsidR="004138BE" w:rsidRPr="00144FFA" w:rsidRDefault="004138BE">
            <w:pPr>
              <w:pStyle w:val="TableContents"/>
              <w:rPr>
                <w:sz w:val="18"/>
                <w:szCs w:val="18"/>
              </w:rPr>
            </w:pPr>
          </w:p>
          <w:p w:rsidR="00144FFA" w:rsidRPr="00144FFA" w:rsidRDefault="00144FFA">
            <w:pPr>
              <w:pStyle w:val="TableContents"/>
              <w:rPr>
                <w:sz w:val="18"/>
                <w:szCs w:val="18"/>
              </w:rPr>
            </w:pPr>
            <w:r w:rsidRPr="00144FFA">
              <w:rPr>
                <w:sz w:val="18"/>
                <w:szCs w:val="18"/>
              </w:rPr>
              <w:t xml:space="preserve">Partie 2 : utilisation des sismogrammes 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2F5496" w:themeColor="accent1" w:themeShade="BF"/>
                <w:sz w:val="18"/>
                <w:szCs w:val="18"/>
              </w:rPr>
              <w:t>Objectif 1 : la vitesse de propagation des ondes varie en fonction de la profondeur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Doc 1 étude d’un sismogramme : temps d’arrivée des ondes P et calcul de vitesse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Doc 2 : étude d’hodochrones : </w:t>
            </w:r>
            <w:proofErr w:type="gramStart"/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augmentation </w:t>
            </w: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de</w:t>
            </w:r>
            <w:proofErr w:type="gramEnd"/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la vitesse en fonction de la profondeur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Réaliser deux calculs de vitesse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Observation de la zone d’ombre sur courbe hodochrone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2F5496" w:themeColor="accent1" w:themeShade="BF"/>
                <w:sz w:val="18"/>
                <w:szCs w:val="18"/>
              </w:rPr>
              <w:t>Objectif 2 : les ondes sismiq</w:t>
            </w:r>
            <w:bookmarkStart w:id="0" w:name="_GoBack"/>
            <w:bookmarkEnd w:id="0"/>
            <w:r w:rsidRPr="00144FFA">
              <w:rPr>
                <w:rFonts w:cs="Times New Roman"/>
                <w:b/>
                <w:bCs/>
                <w:color w:val="2F5496" w:themeColor="accent1" w:themeShade="BF"/>
                <w:sz w:val="18"/>
                <w:szCs w:val="18"/>
              </w:rPr>
              <w:t xml:space="preserve">ues se comportent comme des rais de lumière lors d’un changement de milieu : (définition d’une discontinuité) 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Réalisation d’un modèle analogique expliquant la zone d’ombre observée précédemment.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Bilan : la vitesse varie selon le type de matériau, sa densité et sa viscosité.</w:t>
            </w:r>
          </w:p>
          <w:p w:rsidR="00144FFA" w:rsidRPr="00144FFA" w:rsidRDefault="00144FFA" w:rsidP="00144FF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La vitesse augmente avec la profondeur. </w:t>
            </w:r>
          </w:p>
          <w:p w:rsidR="00144FFA" w:rsidRPr="00144FFA" w:rsidRDefault="00144FFA" w:rsidP="00144FFA">
            <w:pPr>
              <w:rPr>
                <w:rFonts w:cs="Times New Roman"/>
                <w:sz w:val="18"/>
                <w:szCs w:val="18"/>
              </w:rPr>
            </w:pPr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Les ondes subissent des </w:t>
            </w:r>
            <w:proofErr w:type="spellStart"/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reflexions</w:t>
            </w:r>
            <w:proofErr w:type="spellEnd"/>
            <w:r w:rsidRPr="00144FF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et des réfractions au passage de discontinuités</w:t>
            </w:r>
          </w:p>
          <w:p w:rsidR="00144FFA" w:rsidRDefault="00144FFA">
            <w:pPr>
              <w:pStyle w:val="TableContents"/>
            </w:pPr>
          </w:p>
        </w:tc>
      </w:tr>
    </w:tbl>
    <w:p w:rsidR="00B10717" w:rsidRDefault="00B10717">
      <w:pPr>
        <w:pStyle w:val="Standard"/>
      </w:pPr>
    </w:p>
    <w:sectPr w:rsidR="00B10717" w:rsidSect="00144FFA">
      <w:pgSz w:w="16838" w:h="11906" w:orient="landscape"/>
      <w:pgMar w:top="500" w:right="481" w:bottom="142" w:left="6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E0" w:rsidRDefault="00AB74E0">
      <w:r>
        <w:separator/>
      </w:r>
    </w:p>
  </w:endnote>
  <w:endnote w:type="continuationSeparator" w:id="0">
    <w:p w:rsidR="00AB74E0" w:rsidRDefault="00AB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E0" w:rsidRDefault="00AB74E0">
      <w:r>
        <w:rPr>
          <w:color w:val="000000"/>
        </w:rPr>
        <w:separator/>
      </w:r>
    </w:p>
  </w:footnote>
  <w:footnote w:type="continuationSeparator" w:id="0">
    <w:p w:rsidR="00AB74E0" w:rsidRDefault="00AB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72E1"/>
    <w:multiLevelType w:val="hybridMultilevel"/>
    <w:tmpl w:val="41221AE4"/>
    <w:lvl w:ilvl="0" w:tplc="A2AC1E42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3456"/>
    <w:multiLevelType w:val="hybridMultilevel"/>
    <w:tmpl w:val="91446B16"/>
    <w:lvl w:ilvl="0" w:tplc="B33227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17"/>
    <w:rsid w:val="00144FFA"/>
    <w:rsid w:val="002F727D"/>
    <w:rsid w:val="004138BE"/>
    <w:rsid w:val="00422993"/>
    <w:rsid w:val="00825618"/>
    <w:rsid w:val="00963765"/>
    <w:rsid w:val="009C5626"/>
    <w:rsid w:val="009E0529"/>
    <w:rsid w:val="00AB74E0"/>
    <w:rsid w:val="00B10717"/>
    <w:rsid w:val="00BA385F"/>
    <w:rsid w:val="00DD1820"/>
    <w:rsid w:val="00E026F0"/>
    <w:rsid w:val="00E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205F"/>
  <w15:docId w15:val="{7A5DBE67-B523-47BE-8BE8-D44CAB77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sid w:val="00DD1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bejoint</dc:creator>
  <cp:lastModifiedBy>sebastien bejoint</cp:lastModifiedBy>
  <cp:revision>7</cp:revision>
  <dcterms:created xsi:type="dcterms:W3CDTF">2019-06-13T07:42:00Z</dcterms:created>
  <dcterms:modified xsi:type="dcterms:W3CDTF">2019-06-13T08:25:00Z</dcterms:modified>
</cp:coreProperties>
</file>