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2BFF" w14:textId="77777777" w:rsidR="004D6CE6" w:rsidRPr="00AB785D" w:rsidRDefault="004D6CE6" w:rsidP="004D6CE6">
      <w:pPr>
        <w:jc w:val="center"/>
        <w:rPr>
          <w:b/>
          <w:sz w:val="28"/>
          <w:szCs w:val="28"/>
          <w:u w:val="single"/>
        </w:rPr>
      </w:pPr>
      <w:r w:rsidRPr="00AB785D">
        <w:rPr>
          <w:b/>
          <w:sz w:val="28"/>
          <w:szCs w:val="28"/>
          <w:u w:val="single"/>
        </w:rPr>
        <w:t>Présentation du travail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6574"/>
      </w:tblGrid>
      <w:tr w:rsidR="004D6CE6" w:rsidRPr="00AB523B" w14:paraId="28DF08C0" w14:textId="77777777" w:rsidTr="00A46BA5">
        <w:tc>
          <w:tcPr>
            <w:tcW w:w="9288" w:type="dxa"/>
            <w:gridSpan w:val="2"/>
            <w:shd w:val="clear" w:color="auto" w:fill="auto"/>
          </w:tcPr>
          <w:p w14:paraId="6E77A7FB" w14:textId="77777777" w:rsidR="004D6CE6" w:rsidRPr="00AB523B" w:rsidRDefault="004D6CE6" w:rsidP="00A46BA5">
            <w:pPr>
              <w:spacing w:after="0" w:line="240" w:lineRule="auto"/>
              <w:jc w:val="center"/>
              <w:rPr>
                <w:rFonts w:eastAsia="MS Mincho"/>
                <w:b/>
                <w:sz w:val="28"/>
                <w:szCs w:val="28"/>
                <w:lang w:eastAsia="fr-FR"/>
              </w:rPr>
            </w:pPr>
            <w:r w:rsidRPr="00AB523B">
              <w:rPr>
                <w:rFonts w:eastAsia="MS Mincho"/>
                <w:b/>
                <w:sz w:val="28"/>
                <w:szCs w:val="28"/>
                <w:lang w:eastAsia="fr-FR"/>
              </w:rPr>
              <w:t>Académie de</w:t>
            </w:r>
            <w:r>
              <w:rPr>
                <w:rFonts w:eastAsia="MS Mincho"/>
                <w:b/>
                <w:sz w:val="28"/>
                <w:szCs w:val="28"/>
                <w:lang w:eastAsia="fr-FR"/>
              </w:rPr>
              <w:t xml:space="preserve"> la Réunion, année scolaire 2016-2017</w:t>
            </w:r>
          </w:p>
          <w:p w14:paraId="7F7439EC" w14:textId="77777777" w:rsidR="004D6CE6" w:rsidRPr="00AB523B" w:rsidRDefault="004D6CE6" w:rsidP="00A46BA5">
            <w:pPr>
              <w:spacing w:after="0" w:line="240" w:lineRule="auto"/>
              <w:jc w:val="center"/>
              <w:rPr>
                <w:rFonts w:eastAsia="MS Mincho"/>
                <w:b/>
                <w:sz w:val="28"/>
                <w:szCs w:val="28"/>
                <w:lang w:eastAsia="fr-FR"/>
              </w:rPr>
            </w:pPr>
            <w:r w:rsidRPr="00AB523B">
              <w:rPr>
                <w:rFonts w:eastAsia="MS Mincho"/>
                <w:b/>
                <w:sz w:val="28"/>
                <w:szCs w:val="28"/>
                <w:lang w:eastAsia="fr-FR"/>
              </w:rPr>
              <w:t>Formation en Sciences Economiques et Sociales</w:t>
            </w:r>
          </w:p>
        </w:tc>
      </w:tr>
      <w:tr w:rsidR="004D6CE6" w:rsidRPr="00AB523B" w14:paraId="72DFE899" w14:textId="77777777" w:rsidTr="00A46BA5">
        <w:tc>
          <w:tcPr>
            <w:tcW w:w="2714" w:type="dxa"/>
            <w:shd w:val="clear" w:color="auto" w:fill="auto"/>
          </w:tcPr>
          <w:p w14:paraId="0F5F6487" w14:textId="77777777" w:rsidR="004D6CE6" w:rsidRPr="00AB523B" w:rsidRDefault="004D6CE6" w:rsidP="00A46BA5">
            <w:pPr>
              <w:spacing w:after="0" w:line="240" w:lineRule="auto"/>
              <w:rPr>
                <w:rFonts w:eastAsia="MS Mincho"/>
                <w:b/>
                <w:sz w:val="24"/>
                <w:szCs w:val="24"/>
                <w:lang w:eastAsia="fr-FR"/>
              </w:rPr>
            </w:pPr>
            <w:r w:rsidRPr="00AB523B">
              <w:rPr>
                <w:rFonts w:eastAsia="MS Mincho"/>
                <w:b/>
                <w:sz w:val="24"/>
                <w:szCs w:val="24"/>
                <w:lang w:eastAsia="fr-FR"/>
              </w:rPr>
              <w:t>Niveau</w:t>
            </w:r>
          </w:p>
        </w:tc>
        <w:tc>
          <w:tcPr>
            <w:tcW w:w="6574" w:type="dxa"/>
            <w:shd w:val="clear" w:color="auto" w:fill="auto"/>
          </w:tcPr>
          <w:p w14:paraId="59A03A0D" w14:textId="77777777" w:rsidR="004D6CE6" w:rsidRPr="00555FA7" w:rsidRDefault="004D6CE6" w:rsidP="00A46BA5">
            <w:pPr>
              <w:spacing w:after="0" w:line="240" w:lineRule="auto"/>
              <w:rPr>
                <w:rFonts w:eastAsia="MS Mincho"/>
                <w:b/>
                <w:sz w:val="24"/>
                <w:szCs w:val="24"/>
                <w:lang w:eastAsia="fr-FR"/>
              </w:rPr>
            </w:pPr>
            <w:r w:rsidRPr="00555FA7">
              <w:rPr>
                <w:rFonts w:eastAsia="MS Mincho"/>
                <w:b/>
                <w:sz w:val="24"/>
                <w:szCs w:val="24"/>
                <w:lang w:eastAsia="fr-FR"/>
              </w:rPr>
              <w:t>Terminale</w:t>
            </w:r>
          </w:p>
        </w:tc>
      </w:tr>
      <w:tr w:rsidR="004D6CE6" w:rsidRPr="00AB523B" w14:paraId="650F0F95" w14:textId="77777777" w:rsidTr="00A46BA5">
        <w:tc>
          <w:tcPr>
            <w:tcW w:w="2714" w:type="dxa"/>
            <w:shd w:val="clear" w:color="auto" w:fill="auto"/>
          </w:tcPr>
          <w:p w14:paraId="12EB3AA8" w14:textId="77777777" w:rsidR="004D6CE6" w:rsidRPr="00AB523B" w:rsidRDefault="004D6CE6" w:rsidP="00A46BA5">
            <w:pPr>
              <w:spacing w:after="0" w:line="240" w:lineRule="auto"/>
              <w:rPr>
                <w:rFonts w:eastAsia="MS Mincho"/>
                <w:b/>
                <w:sz w:val="24"/>
                <w:szCs w:val="24"/>
                <w:lang w:eastAsia="fr-FR"/>
              </w:rPr>
            </w:pPr>
            <w:r w:rsidRPr="00AB523B">
              <w:rPr>
                <w:rFonts w:eastAsia="MS Mincho"/>
                <w:b/>
                <w:sz w:val="24"/>
                <w:szCs w:val="24"/>
                <w:lang w:eastAsia="fr-FR"/>
              </w:rPr>
              <w:t>Thème général</w:t>
            </w:r>
          </w:p>
        </w:tc>
        <w:tc>
          <w:tcPr>
            <w:tcW w:w="6574" w:type="dxa"/>
            <w:shd w:val="clear" w:color="auto" w:fill="auto"/>
          </w:tcPr>
          <w:p w14:paraId="65360949" w14:textId="77777777" w:rsidR="004D6CE6" w:rsidRPr="00555FA7" w:rsidRDefault="004D6CE6" w:rsidP="00A46BA5">
            <w:pPr>
              <w:spacing w:after="0" w:line="240" w:lineRule="auto"/>
              <w:rPr>
                <w:rFonts w:eastAsia="MS Mincho"/>
                <w:b/>
                <w:sz w:val="24"/>
                <w:szCs w:val="24"/>
                <w:lang w:eastAsia="fr-FR"/>
              </w:rPr>
            </w:pPr>
            <w:r w:rsidRPr="00555FA7">
              <w:rPr>
                <w:b/>
                <w:sz w:val="24"/>
                <w:szCs w:val="24"/>
              </w:rPr>
              <w:t>Enseignement de spécialité Economie approfondie</w:t>
            </w:r>
            <w:r w:rsidRPr="00555FA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6CE6" w:rsidRPr="00AB523B" w14:paraId="16315902" w14:textId="77777777" w:rsidTr="00A46BA5">
        <w:tc>
          <w:tcPr>
            <w:tcW w:w="2714" w:type="dxa"/>
            <w:shd w:val="clear" w:color="auto" w:fill="auto"/>
          </w:tcPr>
          <w:p w14:paraId="0DD5ADB6" w14:textId="77777777" w:rsidR="004D6CE6" w:rsidRPr="00AB523B" w:rsidRDefault="004D6CE6" w:rsidP="00A46BA5">
            <w:pPr>
              <w:spacing w:after="0" w:line="240" w:lineRule="auto"/>
              <w:rPr>
                <w:rFonts w:eastAsia="MS Mincho"/>
                <w:b/>
                <w:sz w:val="24"/>
                <w:szCs w:val="24"/>
                <w:lang w:eastAsia="fr-FR"/>
              </w:rPr>
            </w:pPr>
            <w:r w:rsidRPr="00AB523B">
              <w:rPr>
                <w:rFonts w:eastAsia="MS Mincho"/>
                <w:b/>
                <w:sz w:val="24"/>
                <w:szCs w:val="24"/>
                <w:lang w:eastAsia="fr-FR"/>
              </w:rPr>
              <w:t>Thème spécifique</w:t>
            </w:r>
          </w:p>
        </w:tc>
        <w:tc>
          <w:tcPr>
            <w:tcW w:w="6574" w:type="dxa"/>
            <w:shd w:val="clear" w:color="auto" w:fill="auto"/>
          </w:tcPr>
          <w:p w14:paraId="5975C5C7" w14:textId="77777777" w:rsidR="004D6CE6" w:rsidRPr="00555FA7" w:rsidRDefault="004D6CE6" w:rsidP="00A46BA5">
            <w:pPr>
              <w:spacing w:after="0" w:line="240" w:lineRule="auto"/>
              <w:rPr>
                <w:rFonts w:eastAsia="MS Mincho"/>
                <w:b/>
                <w:sz w:val="24"/>
                <w:szCs w:val="24"/>
                <w:lang w:eastAsia="fr-FR"/>
              </w:rPr>
            </w:pPr>
            <w:r w:rsidRPr="00555FA7">
              <w:rPr>
                <w:b/>
                <w:sz w:val="24"/>
                <w:szCs w:val="24"/>
              </w:rPr>
              <w:t xml:space="preserve"> Thème n°2 : </w:t>
            </w:r>
            <w:r w:rsidRPr="00555FA7">
              <w:rPr>
                <w:rStyle w:val="lev"/>
                <w:sz w:val="24"/>
                <w:szCs w:val="24"/>
              </w:rPr>
              <w:t>Stratégies d'entreprises et politique de concurrence dans une économie globalisée</w:t>
            </w:r>
          </w:p>
        </w:tc>
      </w:tr>
      <w:tr w:rsidR="004D6CE6" w:rsidRPr="00AB523B" w14:paraId="02D088C6" w14:textId="77777777" w:rsidTr="00A46BA5">
        <w:tc>
          <w:tcPr>
            <w:tcW w:w="2714" w:type="dxa"/>
            <w:shd w:val="clear" w:color="auto" w:fill="auto"/>
          </w:tcPr>
          <w:p w14:paraId="7E3062E9" w14:textId="77777777" w:rsidR="004D6CE6" w:rsidRPr="00AB523B" w:rsidRDefault="004D6CE6" w:rsidP="00A46BA5">
            <w:pPr>
              <w:spacing w:after="0" w:line="240" w:lineRule="auto"/>
              <w:rPr>
                <w:rFonts w:eastAsia="MS Mincho"/>
                <w:b/>
                <w:sz w:val="24"/>
                <w:szCs w:val="24"/>
                <w:lang w:eastAsia="fr-FR"/>
              </w:rPr>
            </w:pPr>
            <w:r w:rsidRPr="00AB523B">
              <w:rPr>
                <w:rFonts w:eastAsia="MS Mincho"/>
                <w:b/>
                <w:sz w:val="24"/>
                <w:szCs w:val="24"/>
                <w:lang w:eastAsia="fr-FR"/>
              </w:rPr>
              <w:t>Notions </w:t>
            </w:r>
          </w:p>
        </w:tc>
        <w:tc>
          <w:tcPr>
            <w:tcW w:w="6574" w:type="dxa"/>
            <w:shd w:val="clear" w:color="auto" w:fill="auto"/>
          </w:tcPr>
          <w:p w14:paraId="214F85E6" w14:textId="77777777" w:rsidR="004D6CE6" w:rsidRPr="00EB30C0" w:rsidRDefault="00EB30C0" w:rsidP="00A46BA5">
            <w:pPr>
              <w:spacing w:after="0" w:line="240" w:lineRule="auto"/>
              <w:rPr>
                <w:rFonts w:eastAsia="MS Mincho"/>
                <w:b/>
                <w:sz w:val="24"/>
                <w:szCs w:val="24"/>
                <w:lang w:eastAsia="fr-FR"/>
              </w:rPr>
            </w:pPr>
            <w:r w:rsidRPr="00EB30C0">
              <w:rPr>
                <w:rFonts w:eastAsia="MS Mincho"/>
                <w:b/>
                <w:sz w:val="24"/>
                <w:szCs w:val="24"/>
                <w:lang w:eastAsia="fr-FR"/>
              </w:rPr>
              <w:t>Oligopole, monopole, pouvoir de marché, preneur de prix, coût marginal</w:t>
            </w:r>
            <w:r w:rsidR="000A373D">
              <w:rPr>
                <w:rFonts w:eastAsia="MS Mincho"/>
                <w:b/>
                <w:sz w:val="24"/>
                <w:szCs w:val="24"/>
                <w:lang w:eastAsia="fr-FR"/>
              </w:rPr>
              <w:t>,</w:t>
            </w:r>
            <w:r w:rsidRPr="00EB30C0">
              <w:rPr>
                <w:rFonts w:eastAsia="MS Mincho"/>
                <w:b/>
                <w:sz w:val="24"/>
                <w:szCs w:val="24"/>
                <w:lang w:eastAsia="fr-FR"/>
              </w:rPr>
              <w:t xml:space="preserve"> coût moyen, recette marginale, recette moyenne. </w:t>
            </w:r>
          </w:p>
        </w:tc>
      </w:tr>
      <w:tr w:rsidR="004D6CE6" w:rsidRPr="00AB523B" w14:paraId="7DB24640" w14:textId="77777777" w:rsidTr="00A46BA5">
        <w:tc>
          <w:tcPr>
            <w:tcW w:w="2714" w:type="dxa"/>
            <w:shd w:val="clear" w:color="auto" w:fill="auto"/>
          </w:tcPr>
          <w:p w14:paraId="151BBA98" w14:textId="77777777" w:rsidR="004D6CE6" w:rsidRPr="00AB523B" w:rsidRDefault="004D6CE6" w:rsidP="00A46BA5">
            <w:pPr>
              <w:spacing w:after="0" w:line="240" w:lineRule="auto"/>
              <w:rPr>
                <w:rFonts w:eastAsia="MS Mincho"/>
                <w:b/>
                <w:sz w:val="24"/>
                <w:szCs w:val="24"/>
                <w:lang w:eastAsia="fr-FR"/>
              </w:rPr>
            </w:pPr>
            <w:r w:rsidRPr="00AB523B">
              <w:rPr>
                <w:rFonts w:eastAsia="MS Mincho"/>
                <w:b/>
                <w:sz w:val="24"/>
                <w:szCs w:val="24"/>
                <w:lang w:eastAsia="fr-FR"/>
              </w:rPr>
              <w:t>Savoir-faire</w:t>
            </w:r>
          </w:p>
        </w:tc>
        <w:tc>
          <w:tcPr>
            <w:tcW w:w="6574" w:type="dxa"/>
            <w:shd w:val="clear" w:color="auto" w:fill="auto"/>
          </w:tcPr>
          <w:p w14:paraId="63D22891" w14:textId="77777777" w:rsidR="004D6CE6" w:rsidRPr="00EB30C0" w:rsidRDefault="00EB30C0" w:rsidP="00A46BA5">
            <w:pPr>
              <w:spacing w:after="0" w:line="240" w:lineRule="auto"/>
              <w:rPr>
                <w:rFonts w:eastAsia="MS Mincho"/>
                <w:b/>
                <w:sz w:val="24"/>
                <w:szCs w:val="24"/>
                <w:lang w:eastAsia="fr-FR"/>
              </w:rPr>
            </w:pPr>
            <w:r w:rsidRPr="00EB30C0">
              <w:rPr>
                <w:rFonts w:eastAsia="MS Mincho"/>
                <w:b/>
                <w:sz w:val="24"/>
                <w:szCs w:val="24"/>
                <w:lang w:eastAsia="fr-FR"/>
              </w:rPr>
              <w:t xml:space="preserve">Calcul d'une variation absolue et d'un taux de variation. </w:t>
            </w:r>
          </w:p>
          <w:p w14:paraId="106B413C" w14:textId="77777777" w:rsidR="004D6CE6" w:rsidRPr="00EB30C0" w:rsidRDefault="004D6CE6" w:rsidP="00A46BA5">
            <w:pPr>
              <w:spacing w:after="0" w:line="240" w:lineRule="auto"/>
              <w:rPr>
                <w:rFonts w:eastAsia="MS Mincho"/>
                <w:b/>
                <w:sz w:val="24"/>
                <w:szCs w:val="24"/>
                <w:lang w:eastAsia="fr-FR"/>
              </w:rPr>
            </w:pPr>
          </w:p>
        </w:tc>
      </w:tr>
      <w:tr w:rsidR="004D6CE6" w:rsidRPr="00AB523B" w14:paraId="029ECD25" w14:textId="77777777" w:rsidTr="00A46BA5">
        <w:tc>
          <w:tcPr>
            <w:tcW w:w="2714" w:type="dxa"/>
            <w:shd w:val="clear" w:color="auto" w:fill="auto"/>
          </w:tcPr>
          <w:p w14:paraId="3B3E12F1" w14:textId="77777777" w:rsidR="004D6CE6" w:rsidRPr="00AB523B" w:rsidRDefault="004D6CE6" w:rsidP="00A46BA5">
            <w:pPr>
              <w:spacing w:after="0" w:line="240" w:lineRule="auto"/>
              <w:rPr>
                <w:rFonts w:eastAsia="MS Mincho"/>
                <w:b/>
                <w:sz w:val="24"/>
                <w:szCs w:val="24"/>
                <w:lang w:eastAsia="fr-FR"/>
              </w:rPr>
            </w:pPr>
            <w:r w:rsidRPr="00AB523B">
              <w:rPr>
                <w:rFonts w:eastAsia="MS Mincho"/>
                <w:b/>
                <w:sz w:val="24"/>
                <w:szCs w:val="24"/>
                <w:lang w:eastAsia="fr-FR"/>
              </w:rPr>
              <w:t>Cadre d’utilisation</w:t>
            </w:r>
          </w:p>
        </w:tc>
        <w:tc>
          <w:tcPr>
            <w:tcW w:w="6574" w:type="dxa"/>
            <w:shd w:val="clear" w:color="auto" w:fill="auto"/>
          </w:tcPr>
          <w:p w14:paraId="57696D9C" w14:textId="77777777" w:rsidR="004D6CE6" w:rsidRPr="00AB523B" w:rsidRDefault="00AA6019" w:rsidP="00A46BA5">
            <w:pPr>
              <w:spacing w:after="0" w:line="240" w:lineRule="auto"/>
              <w:rPr>
                <w:rFonts w:eastAsia="MS Mincho"/>
                <w:sz w:val="24"/>
                <w:szCs w:val="24"/>
                <w:lang w:eastAsia="fr-FR"/>
              </w:rPr>
            </w:pPr>
            <w:r>
              <w:rPr>
                <w:rFonts w:eastAsia="MS Mincho"/>
                <w:sz w:val="24"/>
                <w:szCs w:val="24"/>
                <w:lang w:eastAsia="fr-FR"/>
              </w:rPr>
              <w:t>TD</w:t>
            </w:r>
          </w:p>
        </w:tc>
      </w:tr>
      <w:tr w:rsidR="004D6CE6" w:rsidRPr="00AB523B" w14:paraId="7503A794" w14:textId="77777777" w:rsidTr="00A46BA5">
        <w:tc>
          <w:tcPr>
            <w:tcW w:w="2714" w:type="dxa"/>
            <w:shd w:val="clear" w:color="auto" w:fill="auto"/>
          </w:tcPr>
          <w:p w14:paraId="2130C542" w14:textId="77777777" w:rsidR="004D6CE6" w:rsidRPr="00AB523B" w:rsidRDefault="004D6CE6" w:rsidP="00A46BA5">
            <w:pPr>
              <w:spacing w:after="0" w:line="240" w:lineRule="auto"/>
              <w:rPr>
                <w:rFonts w:eastAsia="MS Mincho"/>
                <w:b/>
                <w:sz w:val="24"/>
                <w:szCs w:val="24"/>
                <w:lang w:eastAsia="fr-FR"/>
              </w:rPr>
            </w:pPr>
            <w:r w:rsidRPr="00AB523B">
              <w:rPr>
                <w:rFonts w:eastAsia="MS Mincho"/>
                <w:b/>
                <w:sz w:val="24"/>
                <w:szCs w:val="24"/>
                <w:lang w:eastAsia="fr-FR"/>
              </w:rPr>
              <w:t>Objectifs pédagogiques</w:t>
            </w:r>
          </w:p>
        </w:tc>
        <w:tc>
          <w:tcPr>
            <w:tcW w:w="6574" w:type="dxa"/>
            <w:shd w:val="clear" w:color="auto" w:fill="auto"/>
          </w:tcPr>
          <w:p w14:paraId="670C2D06" w14:textId="77777777" w:rsidR="004D6CE6" w:rsidRDefault="00AA6019" w:rsidP="00A46BA5">
            <w:pPr>
              <w:spacing w:after="0" w:line="240" w:lineRule="auto"/>
              <w:rPr>
                <w:rFonts w:eastAsia="MS Mincho"/>
                <w:sz w:val="24"/>
                <w:szCs w:val="24"/>
                <w:lang w:eastAsia="fr-FR"/>
              </w:rPr>
            </w:pPr>
            <w:r>
              <w:rPr>
                <w:rFonts w:eastAsia="MS Mincho"/>
                <w:sz w:val="24"/>
                <w:szCs w:val="24"/>
                <w:lang w:eastAsia="fr-FR"/>
              </w:rPr>
              <w:t>Comprendre la not</w:t>
            </w:r>
            <w:r w:rsidR="007B07AF">
              <w:rPr>
                <w:rFonts w:eastAsia="MS Mincho"/>
                <w:sz w:val="24"/>
                <w:szCs w:val="24"/>
                <w:lang w:eastAsia="fr-FR"/>
              </w:rPr>
              <w:t xml:space="preserve">ion de libre entrée </w:t>
            </w:r>
            <w:r>
              <w:rPr>
                <w:rFonts w:eastAsia="MS Mincho"/>
                <w:sz w:val="24"/>
                <w:szCs w:val="24"/>
                <w:lang w:eastAsia="fr-FR"/>
              </w:rPr>
              <w:t xml:space="preserve"> et d'entr</w:t>
            </w:r>
            <w:r w:rsidR="007B07AF">
              <w:rPr>
                <w:rFonts w:eastAsia="MS Mincho"/>
                <w:sz w:val="24"/>
                <w:szCs w:val="24"/>
                <w:lang w:eastAsia="fr-FR"/>
              </w:rPr>
              <w:t xml:space="preserve">ave à la concurrence. </w:t>
            </w:r>
          </w:p>
          <w:p w14:paraId="59282AED" w14:textId="77777777" w:rsidR="004D6CE6" w:rsidRPr="00AB523B" w:rsidRDefault="004D6CE6" w:rsidP="00A46BA5">
            <w:pPr>
              <w:spacing w:after="0" w:line="240" w:lineRule="auto"/>
              <w:rPr>
                <w:rFonts w:eastAsia="MS Mincho"/>
                <w:sz w:val="24"/>
                <w:szCs w:val="24"/>
                <w:lang w:eastAsia="fr-FR"/>
              </w:rPr>
            </w:pPr>
          </w:p>
        </w:tc>
      </w:tr>
      <w:tr w:rsidR="004D6CE6" w:rsidRPr="00AB523B" w14:paraId="37B94146" w14:textId="77777777" w:rsidTr="00A46BA5">
        <w:tc>
          <w:tcPr>
            <w:tcW w:w="2714" w:type="dxa"/>
            <w:shd w:val="clear" w:color="auto" w:fill="auto"/>
          </w:tcPr>
          <w:p w14:paraId="2840BEAB" w14:textId="77777777" w:rsidR="004D6CE6" w:rsidRPr="00AB523B" w:rsidRDefault="004D6CE6" w:rsidP="00A46BA5">
            <w:pPr>
              <w:spacing w:after="0" w:line="240" w:lineRule="auto"/>
              <w:rPr>
                <w:rFonts w:eastAsia="MS Mincho"/>
                <w:b/>
                <w:sz w:val="24"/>
                <w:szCs w:val="24"/>
                <w:lang w:eastAsia="fr-FR"/>
              </w:rPr>
            </w:pPr>
            <w:r w:rsidRPr="00AB523B">
              <w:rPr>
                <w:rFonts w:eastAsia="MS Mincho"/>
                <w:b/>
                <w:sz w:val="24"/>
                <w:szCs w:val="24"/>
                <w:lang w:eastAsia="fr-FR"/>
              </w:rPr>
              <w:t>Démarche</w:t>
            </w:r>
            <w:r>
              <w:rPr>
                <w:rFonts w:eastAsia="MS Mincho"/>
                <w:b/>
                <w:sz w:val="24"/>
                <w:szCs w:val="24"/>
                <w:lang w:eastAsia="fr-FR"/>
              </w:rPr>
              <w:t xml:space="preserve"> pédagogique</w:t>
            </w:r>
          </w:p>
        </w:tc>
        <w:tc>
          <w:tcPr>
            <w:tcW w:w="6574" w:type="dxa"/>
            <w:shd w:val="clear" w:color="auto" w:fill="auto"/>
          </w:tcPr>
          <w:p w14:paraId="56DF8128" w14:textId="77777777" w:rsidR="004D6CE6" w:rsidRDefault="00AA6019" w:rsidP="00A46BA5">
            <w:pPr>
              <w:spacing w:after="0" w:line="240" w:lineRule="auto"/>
              <w:rPr>
                <w:rFonts w:eastAsia="MS Mincho"/>
                <w:sz w:val="24"/>
                <w:szCs w:val="24"/>
                <w:lang w:eastAsia="fr-FR"/>
              </w:rPr>
            </w:pPr>
            <w:r>
              <w:rPr>
                <w:rFonts w:eastAsia="MS Mincho"/>
                <w:sz w:val="24"/>
                <w:szCs w:val="24"/>
                <w:lang w:eastAsia="fr-FR"/>
              </w:rPr>
              <w:t>A travers l'exemple de la télépho</w:t>
            </w:r>
            <w:r w:rsidR="007B07AF">
              <w:rPr>
                <w:rFonts w:eastAsia="MS Mincho"/>
                <w:sz w:val="24"/>
                <w:szCs w:val="24"/>
                <w:lang w:eastAsia="fr-FR"/>
              </w:rPr>
              <w:t xml:space="preserve">nie mobile. </w:t>
            </w:r>
          </w:p>
          <w:p w14:paraId="576ACFF8" w14:textId="77777777" w:rsidR="004D6CE6" w:rsidRPr="00AB523B" w:rsidRDefault="004D6CE6" w:rsidP="00A46BA5">
            <w:pPr>
              <w:spacing w:after="0" w:line="240" w:lineRule="auto"/>
              <w:rPr>
                <w:rFonts w:eastAsia="MS Mincho"/>
                <w:sz w:val="24"/>
                <w:szCs w:val="24"/>
                <w:lang w:eastAsia="fr-FR"/>
              </w:rPr>
            </w:pPr>
          </w:p>
        </w:tc>
      </w:tr>
      <w:tr w:rsidR="004D6CE6" w:rsidRPr="00AB523B" w14:paraId="73B869E3" w14:textId="77777777" w:rsidTr="00A46BA5">
        <w:tc>
          <w:tcPr>
            <w:tcW w:w="2714" w:type="dxa"/>
            <w:shd w:val="clear" w:color="auto" w:fill="auto"/>
          </w:tcPr>
          <w:p w14:paraId="5909EEA6" w14:textId="77777777" w:rsidR="004D6CE6" w:rsidRPr="00AB523B" w:rsidRDefault="004D6CE6" w:rsidP="00A46BA5">
            <w:pPr>
              <w:spacing w:after="0" w:line="240" w:lineRule="auto"/>
              <w:rPr>
                <w:rFonts w:eastAsia="MS Mincho"/>
                <w:b/>
                <w:sz w:val="24"/>
                <w:szCs w:val="24"/>
                <w:lang w:eastAsia="fr-FR"/>
              </w:rPr>
            </w:pPr>
            <w:r w:rsidRPr="00AB523B">
              <w:rPr>
                <w:rFonts w:eastAsia="MS Mincho"/>
                <w:b/>
                <w:sz w:val="24"/>
                <w:szCs w:val="24"/>
                <w:lang w:eastAsia="fr-FR"/>
              </w:rPr>
              <w:t>Auteurs</w:t>
            </w:r>
          </w:p>
        </w:tc>
        <w:tc>
          <w:tcPr>
            <w:tcW w:w="6574" w:type="dxa"/>
            <w:shd w:val="clear" w:color="auto" w:fill="auto"/>
          </w:tcPr>
          <w:p w14:paraId="6D15366F" w14:textId="77777777" w:rsidR="004D6CE6" w:rsidRDefault="007B07AF" w:rsidP="00A46BA5">
            <w:pPr>
              <w:spacing w:after="0" w:line="240" w:lineRule="auto"/>
              <w:rPr>
                <w:rFonts w:eastAsia="MS Mincho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fr-FR"/>
              </w:rPr>
              <w:t>Guitteaud</w:t>
            </w:r>
            <w:proofErr w:type="spellEnd"/>
            <w:r>
              <w:rPr>
                <w:rFonts w:eastAsia="MS Mincho"/>
                <w:sz w:val="24"/>
                <w:szCs w:val="24"/>
                <w:lang w:eastAsia="fr-FR"/>
              </w:rPr>
              <w:t xml:space="preserve"> Paul et Law-Ying Jean -François. </w:t>
            </w:r>
          </w:p>
          <w:p w14:paraId="61D64240" w14:textId="77777777" w:rsidR="004D6CE6" w:rsidRPr="00AB523B" w:rsidRDefault="004D6CE6" w:rsidP="00A46BA5">
            <w:pPr>
              <w:spacing w:after="0" w:line="240" w:lineRule="auto"/>
              <w:rPr>
                <w:rFonts w:eastAsia="MS Mincho"/>
                <w:sz w:val="24"/>
                <w:szCs w:val="24"/>
                <w:lang w:eastAsia="fr-FR"/>
              </w:rPr>
            </w:pPr>
          </w:p>
        </w:tc>
      </w:tr>
    </w:tbl>
    <w:p w14:paraId="04C3251A" w14:textId="77777777" w:rsidR="0091478B" w:rsidRDefault="0091478B" w:rsidP="004D6CE6"/>
    <w:p w14:paraId="4D72FED5" w14:textId="77777777" w:rsidR="0091478B" w:rsidRPr="00DE64A5" w:rsidRDefault="00DE64A5" w:rsidP="004D6CE6">
      <w:pPr>
        <w:rPr>
          <w:b/>
          <w:u w:val="single"/>
        </w:rPr>
      </w:pPr>
      <w:r w:rsidRPr="00DE64A5">
        <w:rPr>
          <w:b/>
          <w:u w:val="single"/>
        </w:rPr>
        <w:t xml:space="preserve">Doc 1 - </w:t>
      </w:r>
    </w:p>
    <w:p w14:paraId="4FA7078C" w14:textId="77777777" w:rsidR="00DE64A5" w:rsidRPr="002D5340" w:rsidRDefault="00DE64A5" w:rsidP="00EB3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25" w:line="326" w:lineRule="atLeast"/>
        <w:outlineLvl w:val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2D5340">
        <w:rPr>
          <w:rFonts w:ascii="Times New Roman" w:eastAsia="Times New Roman" w:hAnsi="Times New Roman"/>
          <w:sz w:val="24"/>
          <w:szCs w:val="24"/>
          <w:lang w:eastAsia="fr-FR"/>
        </w:rPr>
        <w:t>La</w:t>
      </w:r>
      <w:r w:rsidR="000A373D" w:rsidRPr="002D5340">
        <w:rPr>
          <w:rFonts w:ascii="Times New Roman" w:eastAsia="Times New Roman" w:hAnsi="Times New Roman"/>
          <w:sz w:val="24"/>
          <w:szCs w:val="24"/>
          <w:lang w:eastAsia="fr-FR"/>
        </w:rPr>
        <w:t xml:space="preserve"> Cour de cassation a confirmé l’existence d’</w:t>
      </w:r>
      <w:r w:rsidRPr="002D5340">
        <w:rPr>
          <w:rFonts w:ascii="Times New Roman" w:eastAsia="Times New Roman" w:hAnsi="Times New Roman"/>
          <w:sz w:val="24"/>
          <w:szCs w:val="24"/>
          <w:lang w:eastAsia="fr-FR"/>
        </w:rPr>
        <w:t>une entente commerciale entre SFR, Orange et Bouygues Telecom. Les trois opérateurs</w:t>
      </w:r>
      <w:r w:rsidR="000A373D" w:rsidRPr="002D5340">
        <w:rPr>
          <w:rFonts w:ascii="Times New Roman" w:eastAsia="Times New Roman" w:hAnsi="Times New Roman"/>
          <w:sz w:val="24"/>
          <w:szCs w:val="24"/>
          <w:lang w:eastAsia="fr-FR"/>
        </w:rPr>
        <w:t xml:space="preserve"> de téléphonie mobile devront s’acquitter d‘</w:t>
      </w:r>
      <w:r w:rsidRPr="002D5340">
        <w:rPr>
          <w:rFonts w:ascii="Times New Roman" w:eastAsia="Times New Roman" w:hAnsi="Times New Roman"/>
          <w:sz w:val="24"/>
          <w:szCs w:val="24"/>
          <w:lang w:eastAsia="fr-FR"/>
        </w:rPr>
        <w:t xml:space="preserve">une amende record de 442 millions </w:t>
      </w:r>
      <w:proofErr w:type="spellStart"/>
      <w:r w:rsidRPr="002D5340">
        <w:rPr>
          <w:rFonts w:ascii="Times New Roman" w:eastAsia="Times New Roman" w:hAnsi="Times New Roman"/>
          <w:sz w:val="24"/>
          <w:szCs w:val="24"/>
          <w:lang w:eastAsia="fr-FR"/>
        </w:rPr>
        <w:t>d"euros</w:t>
      </w:r>
      <w:proofErr w:type="spellEnd"/>
      <w:r w:rsidRPr="002D5340">
        <w:rPr>
          <w:rFonts w:ascii="Times New Roman" w:eastAsia="Times New Roman" w:hAnsi="Times New Roman"/>
          <w:sz w:val="24"/>
          <w:szCs w:val="24"/>
          <w:lang w:eastAsia="fr-FR"/>
        </w:rPr>
        <w:t xml:space="preserve"> - 92 de moins qu'en première instance.</w:t>
      </w:r>
    </w:p>
    <w:p w14:paraId="55D95B5A" w14:textId="77777777" w:rsidR="001246AC" w:rsidRPr="002D5340" w:rsidRDefault="00DE64A5" w:rsidP="00EB3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319" w:lineRule="atLeast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D5340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La Cour de cassation vient de confirmer le jugement rendu par la Cour d’appel de Paris en décembre. Pour la Haute juridiction, SFR, Orange et Bouyg</w:t>
      </w:r>
      <w:r w:rsidR="001246AC" w:rsidRPr="002D5340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u</w:t>
      </w:r>
      <w:r w:rsidRPr="002D5340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es Telecom se sont bien entendus entre 2000 et 2002 pour se répartir le marché en stabilisant leurs parts respectives autour d'objectifs définis en commun.</w:t>
      </w:r>
    </w:p>
    <w:p w14:paraId="0E926F34" w14:textId="77777777" w:rsidR="001246AC" w:rsidRPr="00522463" w:rsidRDefault="001246AC" w:rsidP="005224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319" w:lineRule="atLeast"/>
        <w:rPr>
          <w:rFonts w:ascii="Arial" w:eastAsia="Times New Roman" w:hAnsi="Arial" w:cs="Arial"/>
          <w:color w:val="000000"/>
          <w:sz w:val="25"/>
          <w:szCs w:val="25"/>
          <w:lang w:eastAsia="fr-FR"/>
        </w:rPr>
      </w:pPr>
      <w:r w:rsidRPr="002D5340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DE64A5" w:rsidRPr="002D5340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Les trois opérateurs devront donc payer l’amende fixée en appel à 442 millions d'euros. Elle se répartit entre les trois protagonistes de la manière suivante : 215 millions d’euros pour Orange, 185 pour SFR et 42 pour Bouygue</w:t>
      </w:r>
      <w:r w:rsidR="000A373D" w:rsidRPr="002D5340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</w:t>
      </w:r>
      <w:r w:rsidR="00DE64A5" w:rsidRPr="002D5340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Telecom.</w:t>
      </w:r>
      <w:r w:rsidR="00DE64A5" w:rsidRPr="00DE64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="00DE64A5" w:rsidRPr="00DE64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DE64A5" w:rsidRPr="00DE64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hyperlink r:id="rId6" w:history="1">
        <w:r w:rsidR="00EB30C0" w:rsidRPr="00DE64A5">
          <w:rPr>
            <w:rFonts w:ascii="Arial" w:eastAsia="Times New Roman" w:hAnsi="Arial" w:cs="Arial"/>
            <w:b/>
            <w:color w:val="663366"/>
            <w:sz w:val="15"/>
            <w:u w:val="single"/>
            <w:lang w:eastAsia="fr-FR"/>
          </w:rPr>
          <w:t>Orange-SFR- Bouygues: la justice confirme l'entente</w:t>
        </w:r>
      </w:hyperlink>
      <w:r w:rsidR="00EB30C0" w:rsidRPr="00DE64A5">
        <w:rPr>
          <w:rFonts w:ascii="Arial" w:eastAsia="Times New Roman" w:hAnsi="Arial" w:cs="Arial"/>
          <w:b/>
          <w:color w:val="3366BB"/>
          <w:sz w:val="15"/>
          <w:lang w:eastAsia="fr-FR"/>
        </w:rPr>
        <w:t> [</w:t>
      </w:r>
      <w:hyperlink r:id="rId7" w:tooltip="archive sur Wikiwix" w:history="1">
        <w:r w:rsidR="00EB30C0" w:rsidRPr="00DE64A5">
          <w:rPr>
            <w:rFonts w:ascii="Arial" w:eastAsia="Times New Roman" w:hAnsi="Arial" w:cs="Arial"/>
            <w:b/>
            <w:color w:val="3366BB"/>
            <w:sz w:val="15"/>
            <w:lang w:eastAsia="fr-FR"/>
          </w:rPr>
          <w:t>archive</w:t>
        </w:r>
      </w:hyperlink>
      <w:r w:rsidR="00EB30C0" w:rsidRPr="00DE64A5">
        <w:rPr>
          <w:rFonts w:ascii="Arial" w:eastAsia="Times New Roman" w:hAnsi="Arial" w:cs="Arial"/>
          <w:b/>
          <w:color w:val="3366BB"/>
          <w:sz w:val="15"/>
          <w:lang w:eastAsia="fr-FR"/>
        </w:rPr>
        <w:t>]</w:t>
      </w:r>
      <w:r w:rsidR="00EB30C0" w:rsidRPr="00DE64A5">
        <w:rPr>
          <w:rFonts w:ascii="Arial" w:eastAsia="Times New Roman" w:hAnsi="Arial" w:cs="Arial"/>
          <w:b/>
          <w:color w:val="252525"/>
          <w:sz w:val="15"/>
          <w:lang w:eastAsia="fr-FR"/>
        </w:rPr>
        <w:t> - </w:t>
      </w:r>
      <w:hyperlink r:id="rId8" w:tooltip="L'Express" w:history="1">
        <w:r w:rsidR="00EB30C0" w:rsidRPr="00DE64A5">
          <w:rPr>
            <w:rFonts w:ascii="Arial" w:eastAsia="Times New Roman" w:hAnsi="Arial" w:cs="Arial"/>
            <w:b/>
            <w:i/>
            <w:iCs/>
            <w:color w:val="0B0080"/>
            <w:sz w:val="15"/>
            <w:lang w:eastAsia="fr-FR"/>
          </w:rPr>
          <w:t>L'Express</w:t>
        </w:r>
      </w:hyperlink>
      <w:r w:rsidR="00EB30C0" w:rsidRPr="00DE64A5">
        <w:rPr>
          <w:rFonts w:ascii="Arial" w:eastAsia="Times New Roman" w:hAnsi="Arial" w:cs="Arial"/>
          <w:b/>
          <w:color w:val="252525"/>
          <w:sz w:val="15"/>
          <w:lang w:eastAsia="fr-FR"/>
        </w:rPr>
        <w:t>, 29 juin 2007</w:t>
      </w:r>
    </w:p>
    <w:p w14:paraId="22C0D9C3" w14:textId="77777777" w:rsidR="002D5340" w:rsidRPr="002D5340" w:rsidRDefault="002D5340" w:rsidP="002D5340">
      <w:pPr>
        <w:pStyle w:val="fig-chapo"/>
        <w:rPr>
          <w:b/>
        </w:rPr>
      </w:pPr>
      <w:r w:rsidRPr="002D5340">
        <w:rPr>
          <w:b/>
        </w:rPr>
        <w:lastRenderedPageBreak/>
        <w:t xml:space="preserve">Doc </w:t>
      </w:r>
      <w:r>
        <w:rPr>
          <w:b/>
        </w:rPr>
        <w:t>2</w:t>
      </w:r>
    </w:p>
    <w:p w14:paraId="5B6EC656" w14:textId="77777777" w:rsidR="002D5340" w:rsidRDefault="002D5340" w:rsidP="002D5340">
      <w:pPr>
        <w:pStyle w:val="fig-chapo"/>
      </w:pPr>
      <w:r>
        <w:t xml:space="preserve">Le quatrième opérateur tient ses promesses avec deux offres de lancement sans engagement, l'une illimitée à 19,90 euros par mois, l'autre d'une heure à 2 euros. La promesse est largement tenue. Le PDG de </w:t>
      </w:r>
      <w:r w:rsidRPr="002D5340">
        <w:t>Free</w:t>
      </w:r>
      <w:r>
        <w:t xml:space="preserve">, Xavier Niel, qui avait annoncé dès 2008 qu'il diviserait la facture mobile par deux, a levé le voile ce matin sur les offres du quatrième opérateur mobile. Et les deux forfaits, sans engagement de durée, cassent véritablement les prix du marché. </w:t>
      </w:r>
    </w:p>
    <w:p w14:paraId="43BBA96F" w14:textId="77777777" w:rsidR="002D5340" w:rsidRPr="002D5340" w:rsidRDefault="002D5340" w:rsidP="002D5340">
      <w:pPr>
        <w:pStyle w:val="NormalWeb"/>
        <w:rPr>
          <w:i/>
        </w:rPr>
      </w:pPr>
      <w:r w:rsidRPr="002D5340">
        <w:rPr>
          <w:i/>
        </w:rPr>
        <w:t>Le Figaro.fr 10/0/2012</w:t>
      </w:r>
    </w:p>
    <w:p w14:paraId="115FD926" w14:textId="77777777" w:rsidR="0091478B" w:rsidRPr="002D5340" w:rsidRDefault="001246AC" w:rsidP="004D6CE6">
      <w:pPr>
        <w:rPr>
          <w:b/>
          <w:sz w:val="24"/>
          <w:szCs w:val="24"/>
        </w:rPr>
      </w:pPr>
      <w:r w:rsidRPr="002D5340">
        <w:rPr>
          <w:b/>
          <w:sz w:val="24"/>
          <w:szCs w:val="24"/>
        </w:rPr>
        <w:t xml:space="preserve">Doc </w:t>
      </w:r>
      <w:r w:rsidR="002D5340" w:rsidRPr="002D5340">
        <w:rPr>
          <w:b/>
          <w:sz w:val="24"/>
          <w:szCs w:val="24"/>
        </w:rPr>
        <w:t>3</w:t>
      </w:r>
    </w:p>
    <w:p w14:paraId="251A47C5" w14:textId="77777777" w:rsidR="0091478B" w:rsidRDefault="0091478B" w:rsidP="004D6CE6">
      <w:r>
        <w:rPr>
          <w:noProof/>
          <w:lang w:eastAsia="fr-FR"/>
        </w:rPr>
        <w:drawing>
          <wp:inline distT="0" distB="0" distL="0" distR="0" wp14:anchorId="33C8F0E9" wp14:editId="3ECEF3CF">
            <wp:extent cx="5758087" cy="3951799"/>
            <wp:effectExtent l="0" t="0" r="0" b="0"/>
            <wp:docPr id="1" name="Image 1" descr="Résultats de recherche d'images pour « les conséquences de l'arrivée de Fre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les conséquences de l'arrivée de Free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40168C" w14:textId="77777777" w:rsidR="00522463" w:rsidRDefault="00522463">
      <w:bookmarkStart w:id="0" w:name="_GoBack"/>
      <w:bookmarkEnd w:id="0"/>
    </w:p>
    <w:p w14:paraId="41ADEBBA" w14:textId="77777777" w:rsidR="00522463" w:rsidRPr="00522463" w:rsidRDefault="00522463" w:rsidP="00522463">
      <w:pPr>
        <w:jc w:val="center"/>
        <w:rPr>
          <w:b/>
          <w:sz w:val="24"/>
          <w:szCs w:val="24"/>
          <w:u w:val="single"/>
        </w:rPr>
      </w:pPr>
      <w:r w:rsidRPr="00522463">
        <w:rPr>
          <w:b/>
          <w:sz w:val="24"/>
          <w:szCs w:val="24"/>
          <w:u w:val="single"/>
        </w:rPr>
        <w:t>Activités sur les documents :</w:t>
      </w:r>
    </w:p>
    <w:p w14:paraId="48390394" w14:textId="77777777" w:rsidR="004D6CE6" w:rsidRDefault="004D6CE6">
      <w:r w:rsidRPr="001246AC">
        <w:rPr>
          <w:b/>
        </w:rPr>
        <w:t>Exercice n°1</w:t>
      </w:r>
      <w:r>
        <w:t xml:space="preserve"> : </w:t>
      </w:r>
      <w:r w:rsidRPr="00522463">
        <w:rPr>
          <w:b/>
        </w:rPr>
        <w:t>Complétez le t</w:t>
      </w:r>
      <w:r w:rsidR="00522463" w:rsidRPr="00522463">
        <w:rPr>
          <w:b/>
        </w:rPr>
        <w:t>ableau</w:t>
      </w:r>
      <w:r w:rsidRPr="00522463">
        <w:rPr>
          <w:b/>
        </w:rPr>
        <w:t xml:space="preserve"> r</w:t>
      </w:r>
      <w:r w:rsidR="00522463" w:rsidRPr="00522463">
        <w:rPr>
          <w:b/>
        </w:rPr>
        <w:t>eprésentant les différentes structures</w:t>
      </w:r>
      <w:r w:rsidRPr="00522463">
        <w:rPr>
          <w:b/>
        </w:rPr>
        <w:t xml:space="preserve"> de marché  à partir des mots suivants</w:t>
      </w:r>
      <w:r w:rsidR="001246AC" w:rsidRPr="00522463">
        <w:rPr>
          <w:b/>
        </w:rPr>
        <w:t xml:space="preserve"> :</w:t>
      </w:r>
      <w:r w:rsidR="001246AC">
        <w:t xml:space="preserve"> Concurrence pure et parfaite</w:t>
      </w:r>
      <w:r>
        <w:t xml:space="preserve">, monopole bilatéral, monopsone, </w:t>
      </w:r>
      <w:proofErr w:type="spellStart"/>
      <w:r>
        <w:t>oligople</w:t>
      </w:r>
      <w:proofErr w:type="spellEnd"/>
      <w:r>
        <w:t xml:space="preserve">, </w:t>
      </w:r>
      <w:proofErr w:type="gramStart"/>
      <w:r>
        <w:t>oligopsone ,</w:t>
      </w:r>
      <w:proofErr w:type="gramEnd"/>
      <w:r>
        <w:t xml:space="preserve">  </w:t>
      </w:r>
      <w:r w:rsidR="000D6173">
        <w:t xml:space="preserve">monopole.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D6CE6" w14:paraId="49760239" w14:textId="77777777" w:rsidTr="004D6CE6">
        <w:tc>
          <w:tcPr>
            <w:tcW w:w="2303" w:type="dxa"/>
          </w:tcPr>
          <w:p w14:paraId="4E4B29C5" w14:textId="77777777" w:rsidR="004D6CE6" w:rsidRDefault="004D6CE6"/>
        </w:tc>
        <w:tc>
          <w:tcPr>
            <w:tcW w:w="2303" w:type="dxa"/>
          </w:tcPr>
          <w:p w14:paraId="348E3EB6" w14:textId="77777777" w:rsidR="004D6CE6" w:rsidRDefault="004D6CE6">
            <w:r>
              <w:t>Un vendeur</w:t>
            </w:r>
          </w:p>
        </w:tc>
        <w:tc>
          <w:tcPr>
            <w:tcW w:w="2303" w:type="dxa"/>
          </w:tcPr>
          <w:p w14:paraId="5008A548" w14:textId="77777777" w:rsidR="004D6CE6" w:rsidRDefault="004D6CE6">
            <w:r>
              <w:t xml:space="preserve">Quelques vendeurs </w:t>
            </w:r>
          </w:p>
        </w:tc>
        <w:tc>
          <w:tcPr>
            <w:tcW w:w="2303" w:type="dxa"/>
          </w:tcPr>
          <w:p w14:paraId="76B99AD6" w14:textId="77777777" w:rsidR="004D6CE6" w:rsidRDefault="004D6CE6">
            <w:r>
              <w:t xml:space="preserve">Plusieurs vendeurs </w:t>
            </w:r>
          </w:p>
        </w:tc>
      </w:tr>
      <w:tr w:rsidR="004D6CE6" w14:paraId="29CF5132" w14:textId="77777777" w:rsidTr="004D6CE6">
        <w:tc>
          <w:tcPr>
            <w:tcW w:w="2303" w:type="dxa"/>
          </w:tcPr>
          <w:p w14:paraId="4F400F8F" w14:textId="77777777" w:rsidR="004D6CE6" w:rsidRDefault="004D6CE6">
            <w:r>
              <w:t>Un acheteur</w:t>
            </w:r>
          </w:p>
        </w:tc>
        <w:tc>
          <w:tcPr>
            <w:tcW w:w="2303" w:type="dxa"/>
          </w:tcPr>
          <w:p w14:paraId="67A1CC65" w14:textId="77777777" w:rsidR="004D6CE6" w:rsidRPr="00522463" w:rsidRDefault="004D6CE6">
            <w:pPr>
              <w:rPr>
                <w:i/>
                <w:color w:val="FF0000"/>
              </w:rPr>
            </w:pPr>
            <w:r w:rsidRPr="00522463">
              <w:rPr>
                <w:i/>
                <w:color w:val="FF0000"/>
              </w:rPr>
              <w:t>monopole bilatéral</w:t>
            </w:r>
          </w:p>
        </w:tc>
        <w:tc>
          <w:tcPr>
            <w:tcW w:w="2303" w:type="dxa"/>
          </w:tcPr>
          <w:p w14:paraId="452B2AAA" w14:textId="77777777" w:rsidR="004D6CE6" w:rsidRPr="00522463" w:rsidRDefault="001246AC">
            <w:pPr>
              <w:rPr>
                <w:i/>
                <w:color w:val="FF0000"/>
              </w:rPr>
            </w:pPr>
            <w:r w:rsidRPr="00522463">
              <w:rPr>
                <w:i/>
                <w:color w:val="FF0000"/>
              </w:rPr>
              <w:t>monopsone</w:t>
            </w:r>
          </w:p>
        </w:tc>
        <w:tc>
          <w:tcPr>
            <w:tcW w:w="2303" w:type="dxa"/>
          </w:tcPr>
          <w:p w14:paraId="24108BC9" w14:textId="77777777" w:rsidR="004D6CE6" w:rsidRPr="00522463" w:rsidRDefault="001246AC">
            <w:pPr>
              <w:rPr>
                <w:i/>
                <w:color w:val="FF0000"/>
              </w:rPr>
            </w:pPr>
            <w:r w:rsidRPr="00522463">
              <w:rPr>
                <w:i/>
                <w:color w:val="FF0000"/>
              </w:rPr>
              <w:t>monopsone</w:t>
            </w:r>
          </w:p>
        </w:tc>
      </w:tr>
      <w:tr w:rsidR="004D6CE6" w14:paraId="53DC9FF4" w14:textId="77777777" w:rsidTr="004D6CE6">
        <w:tc>
          <w:tcPr>
            <w:tcW w:w="2303" w:type="dxa"/>
          </w:tcPr>
          <w:p w14:paraId="116AC754" w14:textId="77777777" w:rsidR="004D6CE6" w:rsidRDefault="004D6CE6">
            <w:r>
              <w:t xml:space="preserve">Quelques acheteurs </w:t>
            </w:r>
          </w:p>
        </w:tc>
        <w:tc>
          <w:tcPr>
            <w:tcW w:w="2303" w:type="dxa"/>
          </w:tcPr>
          <w:p w14:paraId="486DA507" w14:textId="77777777" w:rsidR="004D6CE6" w:rsidRPr="00522463" w:rsidRDefault="000D6173">
            <w:pPr>
              <w:rPr>
                <w:i/>
                <w:color w:val="FF0000"/>
              </w:rPr>
            </w:pPr>
            <w:r w:rsidRPr="00522463">
              <w:rPr>
                <w:i/>
                <w:color w:val="FF0000"/>
              </w:rPr>
              <w:t>monopole</w:t>
            </w:r>
          </w:p>
        </w:tc>
        <w:tc>
          <w:tcPr>
            <w:tcW w:w="2303" w:type="dxa"/>
          </w:tcPr>
          <w:p w14:paraId="3160CA45" w14:textId="77777777" w:rsidR="004D6CE6" w:rsidRPr="00522463" w:rsidRDefault="001246AC">
            <w:pPr>
              <w:rPr>
                <w:i/>
                <w:color w:val="FF0000"/>
              </w:rPr>
            </w:pPr>
            <w:proofErr w:type="spellStart"/>
            <w:r w:rsidRPr="00522463">
              <w:rPr>
                <w:i/>
                <w:color w:val="FF0000"/>
              </w:rPr>
              <w:t>oligople</w:t>
            </w:r>
            <w:proofErr w:type="spellEnd"/>
          </w:p>
        </w:tc>
        <w:tc>
          <w:tcPr>
            <w:tcW w:w="2303" w:type="dxa"/>
          </w:tcPr>
          <w:p w14:paraId="693C92E7" w14:textId="77777777" w:rsidR="004D6CE6" w:rsidRPr="00522463" w:rsidRDefault="001246AC">
            <w:pPr>
              <w:rPr>
                <w:i/>
                <w:color w:val="FF0000"/>
              </w:rPr>
            </w:pPr>
            <w:r w:rsidRPr="00522463">
              <w:rPr>
                <w:i/>
                <w:color w:val="FF0000"/>
              </w:rPr>
              <w:t xml:space="preserve">oligopsone </w:t>
            </w:r>
          </w:p>
        </w:tc>
      </w:tr>
      <w:tr w:rsidR="004D6CE6" w14:paraId="5CA1E10D" w14:textId="77777777" w:rsidTr="004D6CE6">
        <w:tc>
          <w:tcPr>
            <w:tcW w:w="2303" w:type="dxa"/>
          </w:tcPr>
          <w:p w14:paraId="51F12D08" w14:textId="77777777" w:rsidR="004D6CE6" w:rsidRDefault="004D6CE6">
            <w:r>
              <w:t>Plusieurs acheteurs</w:t>
            </w:r>
          </w:p>
        </w:tc>
        <w:tc>
          <w:tcPr>
            <w:tcW w:w="2303" w:type="dxa"/>
          </w:tcPr>
          <w:p w14:paraId="2C595A22" w14:textId="77777777" w:rsidR="004D6CE6" w:rsidRPr="00522463" w:rsidRDefault="000D6173">
            <w:pPr>
              <w:rPr>
                <w:i/>
                <w:color w:val="FF0000"/>
              </w:rPr>
            </w:pPr>
            <w:r w:rsidRPr="00522463">
              <w:rPr>
                <w:i/>
                <w:color w:val="FF0000"/>
              </w:rPr>
              <w:t>monopole</w:t>
            </w:r>
          </w:p>
        </w:tc>
        <w:tc>
          <w:tcPr>
            <w:tcW w:w="2303" w:type="dxa"/>
          </w:tcPr>
          <w:p w14:paraId="7AE3961A" w14:textId="77777777" w:rsidR="004D6CE6" w:rsidRPr="00522463" w:rsidRDefault="001246AC">
            <w:pPr>
              <w:rPr>
                <w:i/>
                <w:color w:val="FF0000"/>
              </w:rPr>
            </w:pPr>
            <w:proofErr w:type="spellStart"/>
            <w:r w:rsidRPr="00522463">
              <w:rPr>
                <w:i/>
                <w:color w:val="FF0000"/>
              </w:rPr>
              <w:t>oligople</w:t>
            </w:r>
            <w:proofErr w:type="spellEnd"/>
          </w:p>
        </w:tc>
        <w:tc>
          <w:tcPr>
            <w:tcW w:w="2303" w:type="dxa"/>
          </w:tcPr>
          <w:p w14:paraId="080255CA" w14:textId="77777777" w:rsidR="004D6CE6" w:rsidRPr="00522463" w:rsidRDefault="004D6CE6">
            <w:pPr>
              <w:rPr>
                <w:i/>
                <w:color w:val="FF0000"/>
              </w:rPr>
            </w:pPr>
            <w:r w:rsidRPr="00522463">
              <w:rPr>
                <w:i/>
                <w:color w:val="FF0000"/>
              </w:rPr>
              <w:t>Concurrence pure et parfaite</w:t>
            </w:r>
          </w:p>
        </w:tc>
      </w:tr>
    </w:tbl>
    <w:p w14:paraId="4943922E" w14:textId="77777777" w:rsidR="004D6CE6" w:rsidRDefault="004D6CE6"/>
    <w:p w14:paraId="404BBC1D" w14:textId="77777777" w:rsidR="000D6173" w:rsidRPr="000D6173" w:rsidRDefault="000D6173">
      <w:pPr>
        <w:rPr>
          <w:b/>
          <w:u w:val="single"/>
        </w:rPr>
      </w:pPr>
      <w:r w:rsidRPr="000D6173">
        <w:rPr>
          <w:b/>
          <w:u w:val="single"/>
        </w:rPr>
        <w:t>Exercice n</w:t>
      </w:r>
      <w:r>
        <w:rPr>
          <w:b/>
          <w:u w:val="single"/>
        </w:rPr>
        <w:t>°</w:t>
      </w:r>
      <w:r w:rsidRPr="000D6173">
        <w:rPr>
          <w:b/>
          <w:u w:val="single"/>
        </w:rPr>
        <w:t xml:space="preserve">2 : </w:t>
      </w:r>
    </w:p>
    <w:p w14:paraId="347C705D" w14:textId="77777777" w:rsidR="000D6173" w:rsidRPr="001246AC" w:rsidRDefault="000D6173" w:rsidP="00522463">
      <w:pPr>
        <w:spacing w:after="0" w:line="240" w:lineRule="auto"/>
        <w:rPr>
          <w:i/>
        </w:rPr>
      </w:pPr>
      <w:r w:rsidRPr="001246AC">
        <w:rPr>
          <w:i/>
        </w:rPr>
        <w:lastRenderedPageBreak/>
        <w:t>Q1- A partir du document</w:t>
      </w:r>
      <w:r w:rsidR="001246AC">
        <w:rPr>
          <w:i/>
        </w:rPr>
        <w:t xml:space="preserve">  ci-</w:t>
      </w:r>
      <w:r w:rsidRPr="001246AC">
        <w:rPr>
          <w:i/>
        </w:rPr>
        <w:t xml:space="preserve">dessus précisez à quelle structure de marché correspond le marché de la téléphonie mobile en France  avant l'arrivée de Free. </w:t>
      </w:r>
    </w:p>
    <w:p w14:paraId="24EF72BC" w14:textId="77777777" w:rsidR="000D6173" w:rsidRDefault="000D6173" w:rsidP="00522463">
      <w:pPr>
        <w:spacing w:after="0" w:line="240" w:lineRule="auto"/>
        <w:rPr>
          <w:color w:val="FF0000"/>
        </w:rPr>
      </w:pPr>
      <w:r w:rsidRPr="00522463">
        <w:rPr>
          <w:color w:val="FF0000"/>
        </w:rPr>
        <w:t>R= C'est un</w:t>
      </w:r>
      <w:r w:rsidRPr="00522463">
        <w:rPr>
          <w:b/>
          <w:color w:val="FF0000"/>
        </w:rPr>
        <w:t xml:space="preserve"> oligopole</w:t>
      </w:r>
      <w:r w:rsidRPr="00522463">
        <w:rPr>
          <w:color w:val="FF0000"/>
        </w:rPr>
        <w:t xml:space="preserve"> car .....</w:t>
      </w:r>
    </w:p>
    <w:p w14:paraId="11114CB3" w14:textId="77777777" w:rsidR="00522463" w:rsidRPr="00522463" w:rsidRDefault="00522463" w:rsidP="00522463">
      <w:pPr>
        <w:spacing w:after="0" w:line="240" w:lineRule="auto"/>
        <w:rPr>
          <w:color w:val="FF0000"/>
        </w:rPr>
      </w:pPr>
    </w:p>
    <w:p w14:paraId="5FB81D8E" w14:textId="77777777" w:rsidR="000D6173" w:rsidRPr="001246AC" w:rsidRDefault="000D6173" w:rsidP="00522463">
      <w:pPr>
        <w:spacing w:after="0" w:line="240" w:lineRule="auto"/>
        <w:rPr>
          <w:i/>
        </w:rPr>
      </w:pPr>
      <w:r w:rsidRPr="001246AC">
        <w:rPr>
          <w:i/>
        </w:rPr>
        <w:t xml:space="preserve">Q2- Comment est déterminé le prix sur ce type de marché? </w:t>
      </w:r>
    </w:p>
    <w:p w14:paraId="3552C912" w14:textId="77777777" w:rsidR="000D6173" w:rsidRDefault="000D6173" w:rsidP="00522463">
      <w:pPr>
        <w:spacing w:after="0" w:line="240" w:lineRule="auto"/>
        <w:rPr>
          <w:color w:val="FF0000"/>
        </w:rPr>
      </w:pPr>
      <w:r w:rsidRPr="00522463">
        <w:rPr>
          <w:color w:val="FF0000"/>
        </w:rPr>
        <w:t xml:space="preserve">Ce sont les entreprises qui fixent le prix. </w:t>
      </w:r>
    </w:p>
    <w:p w14:paraId="43F89460" w14:textId="77777777" w:rsidR="00522463" w:rsidRPr="00522463" w:rsidRDefault="00522463" w:rsidP="00522463">
      <w:pPr>
        <w:spacing w:after="0" w:line="240" w:lineRule="auto"/>
        <w:rPr>
          <w:color w:val="FF0000"/>
        </w:rPr>
      </w:pPr>
    </w:p>
    <w:p w14:paraId="326102BD" w14:textId="77777777" w:rsidR="000D6173" w:rsidRPr="001246AC" w:rsidRDefault="000D6173" w:rsidP="00522463">
      <w:pPr>
        <w:spacing w:after="0" w:line="240" w:lineRule="auto"/>
        <w:rPr>
          <w:i/>
        </w:rPr>
      </w:pPr>
      <w:r w:rsidRPr="001246AC">
        <w:rPr>
          <w:i/>
        </w:rPr>
        <w:t xml:space="preserve">Q3 - En quoi cette situation se distingue t-elle du modèle de CCP? </w:t>
      </w:r>
    </w:p>
    <w:p w14:paraId="4EB2DAA9" w14:textId="77777777" w:rsidR="000D6173" w:rsidRDefault="000D6173" w:rsidP="00522463">
      <w:pPr>
        <w:spacing w:after="0" w:line="240" w:lineRule="auto"/>
        <w:rPr>
          <w:b/>
          <w:color w:val="FF0000"/>
        </w:rPr>
      </w:pPr>
      <w:r w:rsidRPr="00522463">
        <w:rPr>
          <w:color w:val="FF0000"/>
        </w:rPr>
        <w:t xml:space="preserve">En situation de </w:t>
      </w:r>
      <w:proofErr w:type="gramStart"/>
      <w:r w:rsidRPr="00522463">
        <w:rPr>
          <w:color w:val="FF0000"/>
        </w:rPr>
        <w:t>CCP ,</w:t>
      </w:r>
      <w:proofErr w:type="gramEnd"/>
      <w:r w:rsidRPr="00522463">
        <w:rPr>
          <w:color w:val="FF0000"/>
        </w:rPr>
        <w:t xml:space="preserve"> les entreprises sont </w:t>
      </w:r>
      <w:r w:rsidRPr="00522463">
        <w:rPr>
          <w:b/>
          <w:color w:val="FF0000"/>
        </w:rPr>
        <w:t>preneurs de p</w:t>
      </w:r>
      <w:r w:rsidR="00551DCD" w:rsidRPr="00522463">
        <w:rPr>
          <w:b/>
          <w:color w:val="FF0000"/>
        </w:rPr>
        <w:t>rix</w:t>
      </w:r>
      <w:r w:rsidR="00551DCD" w:rsidRPr="00522463">
        <w:rPr>
          <w:color w:val="FF0000"/>
        </w:rPr>
        <w:t xml:space="preserve"> ( </w:t>
      </w:r>
      <w:proofErr w:type="spellStart"/>
      <w:r w:rsidR="00551DCD" w:rsidRPr="00522463">
        <w:rPr>
          <w:b/>
          <w:color w:val="FF0000"/>
        </w:rPr>
        <w:t>price</w:t>
      </w:r>
      <w:proofErr w:type="spellEnd"/>
      <w:r w:rsidR="00551DCD" w:rsidRPr="00522463">
        <w:rPr>
          <w:b/>
          <w:color w:val="FF0000"/>
        </w:rPr>
        <w:t xml:space="preserve"> </w:t>
      </w:r>
      <w:proofErr w:type="spellStart"/>
      <w:r w:rsidR="00551DCD" w:rsidRPr="00522463">
        <w:rPr>
          <w:b/>
          <w:color w:val="FF0000"/>
        </w:rPr>
        <w:t>taker</w:t>
      </w:r>
      <w:proofErr w:type="spellEnd"/>
      <w:r w:rsidR="00551DCD" w:rsidRPr="00522463">
        <w:rPr>
          <w:b/>
          <w:color w:val="FF0000"/>
        </w:rPr>
        <w:t>)</w:t>
      </w:r>
      <w:r w:rsidR="00551DCD" w:rsidRPr="00522463">
        <w:rPr>
          <w:color w:val="FF0000"/>
        </w:rPr>
        <w:t xml:space="preserve"> alors qu'ici elles sont </w:t>
      </w:r>
      <w:r w:rsidR="00551DCD" w:rsidRPr="00522463">
        <w:rPr>
          <w:b/>
          <w:color w:val="FF0000"/>
        </w:rPr>
        <w:t xml:space="preserve">faiseurs de prix ( </w:t>
      </w:r>
      <w:proofErr w:type="spellStart"/>
      <w:r w:rsidR="00551DCD" w:rsidRPr="00522463">
        <w:rPr>
          <w:b/>
          <w:color w:val="FF0000"/>
        </w:rPr>
        <w:t>price</w:t>
      </w:r>
      <w:proofErr w:type="spellEnd"/>
      <w:r w:rsidR="00551DCD" w:rsidRPr="00522463">
        <w:rPr>
          <w:b/>
          <w:color w:val="FF0000"/>
        </w:rPr>
        <w:t xml:space="preserve"> maker) . </w:t>
      </w:r>
    </w:p>
    <w:p w14:paraId="3E7B629B" w14:textId="77777777" w:rsidR="00522463" w:rsidRPr="00522463" w:rsidRDefault="00522463" w:rsidP="00522463">
      <w:pPr>
        <w:spacing w:after="0" w:line="240" w:lineRule="auto"/>
        <w:rPr>
          <w:b/>
          <w:color w:val="FF0000"/>
        </w:rPr>
      </w:pPr>
    </w:p>
    <w:p w14:paraId="1E82ACA7" w14:textId="77777777" w:rsidR="00551DCD" w:rsidRPr="001246AC" w:rsidRDefault="00551DCD" w:rsidP="00522463">
      <w:pPr>
        <w:spacing w:after="0" w:line="240" w:lineRule="auto"/>
        <w:rPr>
          <w:i/>
        </w:rPr>
      </w:pPr>
      <w:r w:rsidRPr="001246AC">
        <w:rPr>
          <w:i/>
        </w:rPr>
        <w:t xml:space="preserve">Q4- En quoi cette situation est-elle plus avantageuse pour les entreprises ? </w:t>
      </w:r>
    </w:p>
    <w:p w14:paraId="16263C11" w14:textId="77777777" w:rsidR="000D6173" w:rsidRDefault="00551DCD" w:rsidP="00522463">
      <w:pPr>
        <w:spacing w:after="0" w:line="240" w:lineRule="auto"/>
        <w:rPr>
          <w:color w:val="FF0000"/>
        </w:rPr>
      </w:pPr>
      <w:r w:rsidRPr="00522463">
        <w:rPr>
          <w:color w:val="FF0000"/>
        </w:rPr>
        <w:t xml:space="preserve">Cela  leur </w:t>
      </w:r>
      <w:r w:rsidRPr="00522463">
        <w:rPr>
          <w:b/>
          <w:color w:val="FF0000"/>
        </w:rPr>
        <w:t>confère un pouvoir de marché</w:t>
      </w:r>
      <w:r w:rsidRPr="00522463">
        <w:rPr>
          <w:color w:val="FF0000"/>
        </w:rPr>
        <w:t xml:space="preserve">  </w:t>
      </w:r>
      <w:proofErr w:type="spellStart"/>
      <w:r w:rsidRPr="00522463">
        <w:rPr>
          <w:color w:val="FF0000"/>
        </w:rPr>
        <w:t>cad</w:t>
      </w:r>
      <w:proofErr w:type="spellEnd"/>
      <w:r w:rsidRPr="00522463">
        <w:rPr>
          <w:color w:val="FF0000"/>
        </w:rPr>
        <w:t xml:space="preserve"> qu'elles peuvent influer sur les caractéristiques du </w:t>
      </w:r>
      <w:proofErr w:type="gramStart"/>
      <w:r w:rsidRPr="00522463">
        <w:rPr>
          <w:color w:val="FF0000"/>
        </w:rPr>
        <w:t>marché .</w:t>
      </w:r>
      <w:proofErr w:type="gramEnd"/>
      <w:r w:rsidRPr="00522463">
        <w:rPr>
          <w:color w:val="FF0000"/>
        </w:rPr>
        <w:t xml:space="preserve">  </w:t>
      </w:r>
      <w:proofErr w:type="gramStart"/>
      <w:r w:rsidRPr="00522463">
        <w:rPr>
          <w:color w:val="FF0000"/>
        </w:rPr>
        <w:t>( la</w:t>
      </w:r>
      <w:proofErr w:type="gramEnd"/>
      <w:r w:rsidRPr="00522463">
        <w:rPr>
          <w:color w:val="FF0000"/>
        </w:rPr>
        <w:t xml:space="preserve"> qualité, le prix, la quantité.... ) </w:t>
      </w:r>
    </w:p>
    <w:p w14:paraId="53DB10E5" w14:textId="77777777" w:rsidR="00522463" w:rsidRPr="00522463" w:rsidRDefault="00522463" w:rsidP="00522463">
      <w:pPr>
        <w:spacing w:after="0" w:line="240" w:lineRule="auto"/>
        <w:rPr>
          <w:color w:val="FF0000"/>
        </w:rPr>
      </w:pPr>
    </w:p>
    <w:p w14:paraId="16240E4A" w14:textId="77777777" w:rsidR="00551DCD" w:rsidRPr="001246AC" w:rsidRDefault="00551DCD" w:rsidP="00522463">
      <w:pPr>
        <w:spacing w:after="0" w:line="240" w:lineRule="auto"/>
        <w:rPr>
          <w:i/>
        </w:rPr>
      </w:pPr>
      <w:r w:rsidRPr="001246AC">
        <w:rPr>
          <w:i/>
        </w:rPr>
        <w:t xml:space="preserve">Q5- Cette situation est-elle légale? </w:t>
      </w:r>
    </w:p>
    <w:p w14:paraId="0044F258" w14:textId="77777777" w:rsidR="00522463" w:rsidRDefault="00551DCD" w:rsidP="00522463">
      <w:pPr>
        <w:spacing w:after="0" w:line="240" w:lineRule="auto"/>
        <w:rPr>
          <w:color w:val="FF0000"/>
        </w:rPr>
      </w:pPr>
      <w:r w:rsidRPr="00522463">
        <w:rPr>
          <w:color w:val="FF0000"/>
        </w:rPr>
        <w:t xml:space="preserve">Oui </w:t>
      </w:r>
      <w:r w:rsidR="00522463">
        <w:rPr>
          <w:color w:val="FF0000"/>
        </w:rPr>
        <w:t xml:space="preserve">s’il n’y a pas d’entente sur les prix. </w:t>
      </w:r>
    </w:p>
    <w:p w14:paraId="7011DC0E" w14:textId="77777777" w:rsidR="00551DCD" w:rsidRDefault="00522463" w:rsidP="00522463">
      <w:pPr>
        <w:spacing w:after="0" w:line="240" w:lineRule="auto"/>
        <w:rPr>
          <w:color w:val="FF0000"/>
        </w:rPr>
      </w:pPr>
      <w:r>
        <w:rPr>
          <w:color w:val="FF0000"/>
        </w:rPr>
        <w:t>En revanche, si les entreprises s’entendent sur les prix (cartel), cela devient illégal</w:t>
      </w:r>
      <w:r w:rsidR="00551DCD" w:rsidRPr="00522463">
        <w:rPr>
          <w:color w:val="FF0000"/>
        </w:rPr>
        <w:t xml:space="preserve">. </w:t>
      </w:r>
    </w:p>
    <w:p w14:paraId="7833E6DE" w14:textId="77777777" w:rsidR="00522463" w:rsidRPr="00522463" w:rsidRDefault="00522463" w:rsidP="00522463">
      <w:pPr>
        <w:spacing w:after="0" w:line="240" w:lineRule="auto"/>
        <w:rPr>
          <w:color w:val="FF0000"/>
        </w:rPr>
      </w:pPr>
    </w:p>
    <w:p w14:paraId="7A2CBC85" w14:textId="77777777" w:rsidR="00551DCD" w:rsidRPr="001246AC" w:rsidRDefault="00FF0804" w:rsidP="00522463">
      <w:pPr>
        <w:spacing w:after="0" w:line="240" w:lineRule="auto"/>
        <w:rPr>
          <w:i/>
        </w:rPr>
      </w:pPr>
      <w:r w:rsidRPr="001246AC">
        <w:rPr>
          <w:i/>
        </w:rPr>
        <w:t>Q6</w:t>
      </w:r>
      <w:r w:rsidR="00551DCD" w:rsidRPr="001246AC">
        <w:rPr>
          <w:i/>
        </w:rPr>
        <w:t>- Pourquoi</w:t>
      </w:r>
      <w:r w:rsidR="009C057C" w:rsidRPr="001246AC">
        <w:rPr>
          <w:i/>
        </w:rPr>
        <w:t>,</w:t>
      </w:r>
      <w:r w:rsidR="001246AC">
        <w:rPr>
          <w:i/>
        </w:rPr>
        <w:t xml:space="preserve"> </w:t>
      </w:r>
      <w:r w:rsidR="009C057C" w:rsidRPr="001246AC">
        <w:rPr>
          <w:i/>
        </w:rPr>
        <w:t>malgré tout</w:t>
      </w:r>
      <w:r w:rsidR="001246AC">
        <w:rPr>
          <w:i/>
        </w:rPr>
        <w:t>,</w:t>
      </w:r>
      <w:r w:rsidR="00551DCD" w:rsidRPr="001246AC">
        <w:rPr>
          <w:i/>
        </w:rPr>
        <w:t xml:space="preserve"> ont-elles été condamnées? </w:t>
      </w:r>
    </w:p>
    <w:p w14:paraId="21492D7C" w14:textId="77777777" w:rsidR="00551DCD" w:rsidRDefault="009C057C" w:rsidP="00522463">
      <w:pPr>
        <w:spacing w:after="0" w:line="240" w:lineRule="auto"/>
        <w:rPr>
          <w:color w:val="FF0000"/>
        </w:rPr>
      </w:pPr>
      <w:r w:rsidRPr="00522463">
        <w:rPr>
          <w:color w:val="FF0000"/>
        </w:rPr>
        <w:t>Elles ont été condamnées car</w:t>
      </w:r>
      <w:r w:rsidR="003062F5" w:rsidRPr="00522463">
        <w:rPr>
          <w:color w:val="FF0000"/>
        </w:rPr>
        <w:t xml:space="preserve"> l'entente </w:t>
      </w:r>
      <w:r w:rsidRPr="00522463">
        <w:rPr>
          <w:color w:val="FF0000"/>
        </w:rPr>
        <w:t xml:space="preserve">  sur les prix </w:t>
      </w:r>
      <w:r w:rsidR="003062F5" w:rsidRPr="00522463">
        <w:rPr>
          <w:color w:val="FF0000"/>
        </w:rPr>
        <w:t xml:space="preserve"> est </w:t>
      </w:r>
      <w:r w:rsidRPr="00522463">
        <w:rPr>
          <w:color w:val="FF0000"/>
        </w:rPr>
        <w:t xml:space="preserve"> préjudiciable aux consommateurs  contrairement aux objectifs de la concurrence. </w:t>
      </w:r>
    </w:p>
    <w:p w14:paraId="0F62A892" w14:textId="77777777" w:rsidR="00522463" w:rsidRPr="00522463" w:rsidRDefault="00522463" w:rsidP="00522463">
      <w:pPr>
        <w:spacing w:after="0" w:line="240" w:lineRule="auto"/>
        <w:rPr>
          <w:color w:val="FF0000"/>
        </w:rPr>
      </w:pPr>
    </w:p>
    <w:p w14:paraId="56E99732" w14:textId="77777777" w:rsidR="00FF0804" w:rsidRPr="001246AC" w:rsidRDefault="00FF0804" w:rsidP="00522463">
      <w:pPr>
        <w:spacing w:after="0" w:line="240" w:lineRule="auto"/>
        <w:rPr>
          <w:i/>
        </w:rPr>
      </w:pPr>
      <w:r w:rsidRPr="001246AC">
        <w:rPr>
          <w:i/>
        </w:rPr>
        <w:t xml:space="preserve">Q7- Pourquoi de nouveaux  concurrents ont-ils des difficultés à entrer sur ce marché? </w:t>
      </w:r>
    </w:p>
    <w:p w14:paraId="5A5A2ECE" w14:textId="77777777" w:rsidR="00FF0804" w:rsidRDefault="00FF0804" w:rsidP="00522463">
      <w:pPr>
        <w:spacing w:after="0" w:line="240" w:lineRule="auto"/>
        <w:rPr>
          <w:b/>
          <w:color w:val="FF0000"/>
        </w:rPr>
      </w:pPr>
      <w:r w:rsidRPr="00522463">
        <w:rPr>
          <w:color w:val="FF0000"/>
        </w:rPr>
        <w:t xml:space="preserve">L'importance des investissements de départ </w:t>
      </w:r>
      <w:proofErr w:type="gramStart"/>
      <w:r w:rsidRPr="00522463">
        <w:rPr>
          <w:color w:val="FF0000"/>
        </w:rPr>
        <w:t>peuvent</w:t>
      </w:r>
      <w:proofErr w:type="gramEnd"/>
      <w:r w:rsidRPr="00522463">
        <w:rPr>
          <w:color w:val="FF0000"/>
        </w:rPr>
        <w:t xml:space="preserve"> dissuader l'arrivée de nouveaux concurrents</w:t>
      </w:r>
      <w:r w:rsidR="001246AC" w:rsidRPr="00522463">
        <w:rPr>
          <w:color w:val="FF0000"/>
        </w:rPr>
        <w:t>.  Et en agissant sur les prix</w:t>
      </w:r>
      <w:r w:rsidRPr="00522463">
        <w:rPr>
          <w:color w:val="FF0000"/>
        </w:rPr>
        <w:t>,</w:t>
      </w:r>
      <w:r w:rsidR="001246AC" w:rsidRPr="00522463">
        <w:rPr>
          <w:color w:val="FF0000"/>
        </w:rPr>
        <w:t xml:space="preserve"> </w:t>
      </w:r>
      <w:r w:rsidRPr="00522463">
        <w:rPr>
          <w:color w:val="FF0000"/>
        </w:rPr>
        <w:t xml:space="preserve">ceci   décourage les futurs concurrents  et constitue donc </w:t>
      </w:r>
      <w:r w:rsidRPr="00522463">
        <w:rPr>
          <w:b/>
          <w:color w:val="FF0000"/>
        </w:rPr>
        <w:t xml:space="preserve">une barrière à l'entrée. </w:t>
      </w:r>
    </w:p>
    <w:p w14:paraId="50C28647" w14:textId="77777777" w:rsidR="00522463" w:rsidRPr="00522463" w:rsidRDefault="00522463" w:rsidP="00522463">
      <w:pPr>
        <w:spacing w:after="0" w:line="240" w:lineRule="auto"/>
        <w:rPr>
          <w:b/>
          <w:color w:val="FF0000"/>
        </w:rPr>
      </w:pPr>
    </w:p>
    <w:p w14:paraId="51A62BC8" w14:textId="77777777" w:rsidR="00FF0804" w:rsidRPr="001246AC" w:rsidRDefault="00423172" w:rsidP="00522463">
      <w:pPr>
        <w:spacing w:after="0" w:line="240" w:lineRule="auto"/>
        <w:rPr>
          <w:i/>
        </w:rPr>
      </w:pPr>
      <w:r w:rsidRPr="001246AC">
        <w:rPr>
          <w:i/>
        </w:rPr>
        <w:t xml:space="preserve">Q8- Quelle a été la stratégie </w:t>
      </w:r>
      <w:r w:rsidR="00EB30C0" w:rsidRPr="001246AC">
        <w:rPr>
          <w:i/>
        </w:rPr>
        <w:t xml:space="preserve">de Free pour pouvoir entrer sur </w:t>
      </w:r>
      <w:r w:rsidRPr="001246AC">
        <w:rPr>
          <w:i/>
        </w:rPr>
        <w:t>ce marché</w:t>
      </w:r>
      <w:r w:rsidR="002D5340">
        <w:rPr>
          <w:i/>
        </w:rPr>
        <w:t xml:space="preserve"> en 2012</w:t>
      </w:r>
      <w:r w:rsidRPr="001246AC">
        <w:rPr>
          <w:i/>
        </w:rPr>
        <w:t xml:space="preserve"> ? </w:t>
      </w:r>
    </w:p>
    <w:p w14:paraId="6EEA7743" w14:textId="77777777" w:rsidR="00423172" w:rsidRDefault="00423172" w:rsidP="00522463">
      <w:pPr>
        <w:spacing w:after="0" w:line="240" w:lineRule="auto"/>
        <w:rPr>
          <w:b/>
          <w:color w:val="FF0000"/>
        </w:rPr>
      </w:pPr>
      <w:r w:rsidRPr="00522463">
        <w:rPr>
          <w:color w:val="FF0000"/>
        </w:rPr>
        <w:t xml:space="preserve">Free  a choisi de casser les prix en matière d'abonnement. Et s'est comporté à son tour </w:t>
      </w:r>
      <w:r w:rsidRPr="00522463">
        <w:rPr>
          <w:b/>
          <w:color w:val="FF0000"/>
        </w:rPr>
        <w:t xml:space="preserve">en faiseur de prix. </w:t>
      </w:r>
    </w:p>
    <w:p w14:paraId="33EE3CDA" w14:textId="77777777" w:rsidR="00522463" w:rsidRPr="00522463" w:rsidRDefault="00522463" w:rsidP="00522463">
      <w:pPr>
        <w:spacing w:after="0" w:line="240" w:lineRule="auto"/>
        <w:rPr>
          <w:b/>
          <w:color w:val="FF0000"/>
        </w:rPr>
      </w:pPr>
    </w:p>
    <w:p w14:paraId="55A1463E" w14:textId="77777777" w:rsidR="00423172" w:rsidRPr="002D5340" w:rsidRDefault="00423172" w:rsidP="00522463">
      <w:pPr>
        <w:spacing w:after="0" w:line="240" w:lineRule="auto"/>
        <w:rPr>
          <w:i/>
        </w:rPr>
      </w:pPr>
      <w:r w:rsidRPr="002D5340">
        <w:rPr>
          <w:i/>
        </w:rPr>
        <w:t xml:space="preserve">Q9 - Comment  a t-il procédé? </w:t>
      </w:r>
    </w:p>
    <w:p w14:paraId="2710AA91" w14:textId="77777777" w:rsidR="00423172" w:rsidRDefault="00423172" w:rsidP="00522463">
      <w:pPr>
        <w:spacing w:after="0" w:line="240" w:lineRule="auto"/>
        <w:rPr>
          <w:color w:val="FF0000"/>
        </w:rPr>
      </w:pPr>
      <w:r w:rsidRPr="00522463">
        <w:rPr>
          <w:color w:val="FF0000"/>
        </w:rPr>
        <w:t xml:space="preserve">Comme les investissements de départ sont </w:t>
      </w:r>
      <w:r w:rsidR="004D0475" w:rsidRPr="00522463">
        <w:rPr>
          <w:color w:val="FF0000"/>
        </w:rPr>
        <w:t>tr</w:t>
      </w:r>
      <w:r w:rsidR="001246AC" w:rsidRPr="00522463">
        <w:rPr>
          <w:color w:val="FF0000"/>
        </w:rPr>
        <w:t>è</w:t>
      </w:r>
      <w:r w:rsidR="004D0475" w:rsidRPr="00522463">
        <w:rPr>
          <w:color w:val="FF0000"/>
        </w:rPr>
        <w:t>s</w:t>
      </w:r>
      <w:r w:rsidRPr="00522463">
        <w:rPr>
          <w:color w:val="FF0000"/>
        </w:rPr>
        <w:t xml:space="preserve"> élevés, les coûts fixes le sont aussi.  Sachant que le </w:t>
      </w:r>
      <w:r w:rsidRPr="00522463">
        <w:rPr>
          <w:b/>
          <w:color w:val="FF0000"/>
        </w:rPr>
        <w:t>coût marginal</w:t>
      </w:r>
      <w:r w:rsidRPr="00522463">
        <w:rPr>
          <w:color w:val="FF0000"/>
        </w:rPr>
        <w:t xml:space="preserve"> reste constant et très faible par rapport aux coûts fixes dans ce secteur d'activité, le </w:t>
      </w:r>
      <w:r w:rsidRPr="00522463">
        <w:rPr>
          <w:b/>
          <w:color w:val="FF0000"/>
        </w:rPr>
        <w:t>coût moyen</w:t>
      </w:r>
      <w:r w:rsidRPr="00522463">
        <w:rPr>
          <w:color w:val="FF0000"/>
        </w:rPr>
        <w:t xml:space="preserve"> diminue avec l'accroissement du  nombre d'abonnés.</w:t>
      </w:r>
      <w:r w:rsidR="00FF0B09" w:rsidRPr="00522463">
        <w:rPr>
          <w:color w:val="FF0000"/>
        </w:rPr>
        <w:t xml:space="preserve"> Donc </w:t>
      </w:r>
      <w:r w:rsidR="00FF0B09" w:rsidRPr="00522463">
        <w:rPr>
          <w:b/>
          <w:color w:val="FF0000"/>
        </w:rPr>
        <w:t>la recette marginale</w:t>
      </w:r>
      <w:r w:rsidR="00FF0B09" w:rsidRPr="00522463">
        <w:rPr>
          <w:color w:val="FF0000"/>
        </w:rPr>
        <w:t xml:space="preserve"> par client demeure constant</w:t>
      </w:r>
      <w:r w:rsidR="001246AC" w:rsidRPr="00522463">
        <w:rPr>
          <w:color w:val="FF0000"/>
        </w:rPr>
        <w:t>e</w:t>
      </w:r>
      <w:r w:rsidR="00FF0B09" w:rsidRPr="00522463">
        <w:rPr>
          <w:color w:val="FF0000"/>
        </w:rPr>
        <w:t xml:space="preserve">, mais </w:t>
      </w:r>
      <w:r w:rsidR="00FF0B09" w:rsidRPr="00522463">
        <w:rPr>
          <w:b/>
          <w:color w:val="FF0000"/>
        </w:rPr>
        <w:t>la recette moyenne</w:t>
      </w:r>
      <w:r w:rsidR="001246AC" w:rsidRPr="00522463">
        <w:rPr>
          <w:color w:val="FF0000"/>
        </w:rPr>
        <w:t xml:space="preserve"> de l'entreprise augmente. D</w:t>
      </w:r>
      <w:r w:rsidR="00FF0B09" w:rsidRPr="00522463">
        <w:rPr>
          <w:color w:val="FF0000"/>
        </w:rPr>
        <w:t>onc ses bénéfices augmentent d'autant</w:t>
      </w:r>
      <w:r w:rsidR="001246AC" w:rsidRPr="00522463">
        <w:rPr>
          <w:color w:val="FF0000"/>
        </w:rPr>
        <w:t xml:space="preserve"> plus que le coût moyen diminue</w:t>
      </w:r>
      <w:r w:rsidR="00FF0B09" w:rsidRPr="00522463">
        <w:rPr>
          <w:color w:val="FF0000"/>
        </w:rPr>
        <w:t xml:space="preserve">. </w:t>
      </w:r>
    </w:p>
    <w:p w14:paraId="456C41AF" w14:textId="77777777" w:rsidR="00522463" w:rsidRPr="00522463" w:rsidRDefault="00522463" w:rsidP="00522463">
      <w:pPr>
        <w:spacing w:after="0" w:line="240" w:lineRule="auto"/>
        <w:rPr>
          <w:color w:val="FF0000"/>
        </w:rPr>
      </w:pPr>
    </w:p>
    <w:p w14:paraId="6520BB93" w14:textId="77777777" w:rsidR="000D6173" w:rsidRPr="00522463" w:rsidRDefault="00EB30C0" w:rsidP="00522463">
      <w:pPr>
        <w:spacing w:after="0" w:line="240" w:lineRule="auto"/>
        <w:rPr>
          <w:i/>
        </w:rPr>
      </w:pPr>
      <w:r w:rsidRPr="001246AC">
        <w:rPr>
          <w:i/>
        </w:rPr>
        <w:t>Q10- De combien les prix ont-ils baissé en euros et en pourcentage</w:t>
      </w:r>
      <w:r w:rsidR="00522463">
        <w:rPr>
          <w:i/>
        </w:rPr>
        <w:t xml:space="preserve"> entre le premier trimestre 2008 et le quatrième trimestre 2013</w:t>
      </w:r>
      <w:r w:rsidRPr="001246AC">
        <w:rPr>
          <w:i/>
        </w:rPr>
        <w:t xml:space="preserve"> ? </w:t>
      </w:r>
    </w:p>
    <w:sectPr w:rsidR="000D6173" w:rsidRPr="00522463" w:rsidSect="00522463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4C05"/>
    <w:multiLevelType w:val="multilevel"/>
    <w:tmpl w:val="0182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CE6"/>
    <w:rsid w:val="000A373D"/>
    <w:rsid w:val="000D6173"/>
    <w:rsid w:val="001246AC"/>
    <w:rsid w:val="001620F4"/>
    <w:rsid w:val="002D5340"/>
    <w:rsid w:val="003062F5"/>
    <w:rsid w:val="00423172"/>
    <w:rsid w:val="004D0475"/>
    <w:rsid w:val="004D6CE6"/>
    <w:rsid w:val="00522463"/>
    <w:rsid w:val="00551DCD"/>
    <w:rsid w:val="007B07AF"/>
    <w:rsid w:val="0091478B"/>
    <w:rsid w:val="009C057C"/>
    <w:rsid w:val="00A65B0A"/>
    <w:rsid w:val="00AA6019"/>
    <w:rsid w:val="00DE64A5"/>
    <w:rsid w:val="00EB30C0"/>
    <w:rsid w:val="00FF0804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DC5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E6"/>
    <w:rPr>
      <w:rFonts w:ascii="Calibri" w:eastAsia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DE6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4D6CE6"/>
    <w:rPr>
      <w:b/>
      <w:bCs/>
    </w:rPr>
  </w:style>
  <w:style w:type="table" w:styleId="Grille">
    <w:name w:val="Table Grid"/>
    <w:basedOn w:val="TableauNormal"/>
    <w:uiPriority w:val="59"/>
    <w:rsid w:val="004D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78B"/>
    <w:rPr>
      <w:rFonts w:ascii="Tahoma" w:eastAsia="Calibri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E64A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loupe">
    <w:name w:val="loupe"/>
    <w:basedOn w:val="Normal"/>
    <w:rsid w:val="00DE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E64A5"/>
  </w:style>
  <w:style w:type="paragraph" w:customStyle="1" w:styleId="titlebeta">
    <w:name w:val="title_beta"/>
    <w:basedOn w:val="Normal"/>
    <w:rsid w:val="00DE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itlesponsor">
    <w:name w:val="title_sponsor"/>
    <w:basedOn w:val="Normal"/>
    <w:rsid w:val="00DE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print">
    <w:name w:val="noprint"/>
    <w:basedOn w:val="Policepardfaut"/>
    <w:rsid w:val="00DE64A5"/>
  </w:style>
  <w:style w:type="character" w:styleId="Lienhypertexte">
    <w:name w:val="Hyperlink"/>
    <w:basedOn w:val="Policepardfaut"/>
    <w:uiPriority w:val="99"/>
    <w:semiHidden/>
    <w:unhideWhenUsed/>
    <w:rsid w:val="00DE64A5"/>
    <w:rPr>
      <w:color w:val="0000FF"/>
      <w:u w:val="single"/>
    </w:rPr>
  </w:style>
  <w:style w:type="character" w:customStyle="1" w:styleId="reference-text">
    <w:name w:val="reference-text"/>
    <w:basedOn w:val="Policepardfaut"/>
    <w:rsid w:val="00DE64A5"/>
  </w:style>
  <w:style w:type="paragraph" w:customStyle="1" w:styleId="fig-chapo">
    <w:name w:val="fig-chapo"/>
    <w:basedOn w:val="Normal"/>
    <w:rsid w:val="002D5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5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5046">
          <w:marLeft w:val="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12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70270">
              <w:marLeft w:val="-451"/>
              <w:marRight w:val="0"/>
              <w:marTop w:val="0"/>
              <w:marBottom w:val="0"/>
              <w:divBdr>
                <w:top w:val="single" w:sz="4" w:space="14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xpress.fr/actualite/societe/orange-sfr-bouygues-la-justice-confirme-l-entente_465257.html" TargetMode="External"/><Relationship Id="rId7" Type="http://schemas.openxmlformats.org/officeDocument/2006/relationships/hyperlink" Target="http://archive.wikiwix.com/cache/?url=http%3A%2F%2Fwww.lexpress.fr%2Factualite%2Fsociete%2Forange-sfr-bouygues-la-justice-confirme-l-entente_465257.html" TargetMode="External"/><Relationship Id="rId8" Type="http://schemas.openxmlformats.org/officeDocument/2006/relationships/hyperlink" Target="https://fr.wikipedia.org/wiki/L%27Express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802</Words>
  <Characters>4413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gdumoulin</dc:creator>
  <cp:lastModifiedBy>Julien Lafon</cp:lastModifiedBy>
  <cp:revision>8</cp:revision>
  <dcterms:created xsi:type="dcterms:W3CDTF">2016-12-12T10:35:00Z</dcterms:created>
  <dcterms:modified xsi:type="dcterms:W3CDTF">2017-02-25T10:19:00Z</dcterms:modified>
</cp:coreProperties>
</file>