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1A20C" w14:textId="77777777" w:rsidR="00817E94" w:rsidRDefault="00E15B53">
      <w:pPr>
        <w:pStyle w:val="Standard"/>
        <w:rPr>
          <w:rFonts w:hint="eastAsia"/>
        </w:rPr>
      </w:pPr>
      <w:r>
        <w:rPr>
          <w:b/>
        </w:rPr>
        <w:t>Académie de la Réunion</w:t>
      </w:r>
    </w:p>
    <w:p w14:paraId="18924E86" w14:textId="77777777" w:rsidR="00817E94" w:rsidRDefault="00E15B53">
      <w:pPr>
        <w:pStyle w:val="Standard"/>
        <w:rPr>
          <w:rFonts w:hint="eastAsia"/>
        </w:rPr>
      </w:pPr>
      <w:r>
        <w:rPr>
          <w:b/>
        </w:rPr>
        <w:t>Fiche de présentation d’une ressource pédagogique en S.E.S.</w:t>
      </w:r>
    </w:p>
    <w:p w14:paraId="3FDB2BF1" w14:textId="77777777" w:rsidR="00817E94" w:rsidRDefault="00817E94">
      <w:pPr>
        <w:pStyle w:val="Standard"/>
        <w:rPr>
          <w:rFonts w:hint="eastAsia"/>
          <w:b/>
        </w:rPr>
      </w:pPr>
    </w:p>
    <w:tbl>
      <w:tblPr>
        <w:tblW w:w="10695" w:type="dxa"/>
        <w:tblInd w:w="-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1"/>
        <w:gridCol w:w="6344"/>
      </w:tblGrid>
      <w:tr w:rsidR="00817E94" w14:paraId="5ED5B7B0" w14:textId="77777777">
        <w:tc>
          <w:tcPr>
            <w:tcW w:w="4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319E68" w14:textId="77777777" w:rsidR="00817E94" w:rsidRDefault="00E15B53">
            <w:pPr>
              <w:pStyle w:val="Standard"/>
              <w:rPr>
                <w:rFonts w:hint="eastAsia"/>
              </w:rPr>
            </w:pPr>
            <w:r>
              <w:rPr>
                <w:b/>
                <w:color w:val="000000"/>
              </w:rPr>
              <w:t xml:space="preserve">Référencement dans </w:t>
            </w:r>
            <w:proofErr w:type="spellStart"/>
            <w:r>
              <w:rPr>
                <w:b/>
                <w:color w:val="000000"/>
              </w:rPr>
              <w:t>Edu’Base</w:t>
            </w:r>
            <w:proofErr w:type="spellEnd"/>
          </w:p>
        </w:tc>
        <w:tc>
          <w:tcPr>
            <w:tcW w:w="6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DE29" w14:textId="77777777" w:rsidR="00817E94" w:rsidRDefault="00817E94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817E94" w14:paraId="4EF7A661" w14:textId="77777777">
        <w:tc>
          <w:tcPr>
            <w:tcW w:w="4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F4D140" w14:textId="77777777" w:rsidR="00817E94" w:rsidRDefault="00E15B53">
            <w:pPr>
              <w:pStyle w:val="Standard"/>
              <w:rPr>
                <w:rFonts w:hint="eastAsia"/>
              </w:rPr>
            </w:pPr>
            <w:r>
              <w:rPr>
                <w:b/>
                <w:color w:val="000000"/>
              </w:rPr>
              <w:t>Nature de la ressource :</w:t>
            </w:r>
          </w:p>
          <w:p w14:paraId="160C56D3" w14:textId="77777777" w:rsidR="00817E94" w:rsidRDefault="00F21FBA">
            <w:pPr>
              <w:pStyle w:val="Standard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color w:val="000000"/>
              </w:rPr>
              <w:t>Objet</w:t>
            </w:r>
          </w:p>
          <w:p w14:paraId="726B9692" w14:textId="77777777" w:rsidR="00817E94" w:rsidRDefault="00E15B53">
            <w:pPr>
              <w:pStyle w:val="Standard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color w:val="000000"/>
              </w:rPr>
              <w:t>Séance</w:t>
            </w:r>
          </w:p>
        </w:tc>
        <w:tc>
          <w:tcPr>
            <w:tcW w:w="6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488A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Texte / article du Monde (« Amende exceptionnelle pour le cartel de la lessive. »12/08/2011)</w:t>
            </w:r>
          </w:p>
        </w:tc>
      </w:tr>
      <w:tr w:rsidR="00817E94" w14:paraId="438C78C0" w14:textId="77777777">
        <w:tc>
          <w:tcPr>
            <w:tcW w:w="4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B6C5B0" w14:textId="77777777" w:rsidR="00817E94" w:rsidRDefault="00E15B53">
            <w:pPr>
              <w:pStyle w:val="Standard"/>
              <w:rPr>
                <w:rFonts w:hint="eastAsia"/>
              </w:rPr>
            </w:pPr>
            <w:r>
              <w:rPr>
                <w:b/>
                <w:color w:val="000000"/>
              </w:rPr>
              <w:t>Lien avec le programme</w:t>
            </w:r>
            <w:r>
              <w:rPr>
                <w:color w:val="000000"/>
              </w:rPr>
              <w:t xml:space="preserve"> (niveau, enseignement, thème)</w:t>
            </w:r>
          </w:p>
        </w:tc>
        <w:tc>
          <w:tcPr>
            <w:tcW w:w="6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9A60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Terminale ES / Economie Approfondie (Partie 2) :</w:t>
            </w:r>
          </w:p>
          <w:p w14:paraId="72911982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2.2 : Quel est le rôle de la politique de la concurrence ?</w:t>
            </w:r>
          </w:p>
        </w:tc>
      </w:tr>
      <w:tr w:rsidR="00817E94" w14:paraId="077F67B8" w14:textId="77777777">
        <w:tc>
          <w:tcPr>
            <w:tcW w:w="4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014692" w14:textId="77777777" w:rsidR="00817E94" w:rsidRDefault="00E15B53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Notions</w:t>
            </w:r>
          </w:p>
        </w:tc>
        <w:tc>
          <w:tcPr>
            <w:tcW w:w="6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A9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Cartel de producteurs / Pouvoir de marché / Faiseur de prix / Abus de position dominante</w:t>
            </w:r>
          </w:p>
        </w:tc>
      </w:tr>
      <w:tr w:rsidR="00817E94" w14:paraId="7AB49F61" w14:textId="77777777">
        <w:tc>
          <w:tcPr>
            <w:tcW w:w="4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BAB1EB" w14:textId="77777777" w:rsidR="00817E94" w:rsidRDefault="00E15B53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Compétences</w:t>
            </w:r>
          </w:p>
        </w:tc>
        <w:tc>
          <w:tcPr>
            <w:tcW w:w="6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676D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Analyse de Texte, utilisation des notions du cours dans le cadre d’une étude de cas.</w:t>
            </w:r>
          </w:p>
        </w:tc>
      </w:tr>
      <w:tr w:rsidR="00817E94" w14:paraId="38586D3F" w14:textId="77777777">
        <w:tc>
          <w:tcPr>
            <w:tcW w:w="4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5343D2" w14:textId="77777777" w:rsidR="00817E94" w:rsidRDefault="00E15B53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Cadre d’utilisation</w:t>
            </w:r>
            <w:r>
              <w:rPr>
                <w:bCs/>
                <w:color w:val="000000"/>
              </w:rPr>
              <w:t xml:space="preserve"> (classe entière, TD, travail en autonomie)</w:t>
            </w:r>
          </w:p>
        </w:tc>
        <w:tc>
          <w:tcPr>
            <w:tcW w:w="6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CB98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TD en aval du cours.</w:t>
            </w:r>
          </w:p>
        </w:tc>
      </w:tr>
      <w:tr w:rsidR="00817E94" w14:paraId="2F14D4E3" w14:textId="77777777">
        <w:tc>
          <w:tcPr>
            <w:tcW w:w="4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63DA5C" w14:textId="77777777" w:rsidR="00817E94" w:rsidRDefault="00E15B53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Usages</w:t>
            </w:r>
          </w:p>
        </w:tc>
        <w:tc>
          <w:tcPr>
            <w:tcW w:w="6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D869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* Possibilité pour les bons élèves de faire sans le cours et pour les autres, avec le cours ;</w:t>
            </w:r>
          </w:p>
          <w:p w14:paraId="1FC6F795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* Possibilité de travailler en binôme avec l’un qui fait une recherche sur l’une ou l’autre des entreprises. (Salle informatique).</w:t>
            </w:r>
          </w:p>
        </w:tc>
      </w:tr>
      <w:tr w:rsidR="00817E94" w14:paraId="481B921A" w14:textId="77777777">
        <w:tc>
          <w:tcPr>
            <w:tcW w:w="4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37E66D" w14:textId="77777777" w:rsidR="00817E94" w:rsidRDefault="00E15B53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Objectifs pédagogiques</w:t>
            </w:r>
          </w:p>
        </w:tc>
        <w:tc>
          <w:tcPr>
            <w:tcW w:w="6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B4E4" w14:textId="77777777" w:rsidR="00817E94" w:rsidRDefault="00E15B5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Renforcer la maîtrise des notions, rendre concret les concepts, lecture et analyse de texte.</w:t>
            </w:r>
          </w:p>
        </w:tc>
      </w:tr>
    </w:tbl>
    <w:p w14:paraId="64C0D246" w14:textId="77777777" w:rsidR="00817E94" w:rsidRDefault="00817E94">
      <w:pPr>
        <w:pStyle w:val="Standard"/>
        <w:jc w:val="center"/>
        <w:rPr>
          <w:rFonts w:hint="eastAsia"/>
          <w:b/>
          <w:bCs/>
          <w:u w:val="single"/>
        </w:rPr>
      </w:pPr>
      <w:bookmarkStart w:id="0" w:name="_GoBack"/>
      <w:bookmarkEnd w:id="0"/>
    </w:p>
    <w:p w14:paraId="544FB7AC" w14:textId="77777777" w:rsidR="00817E94" w:rsidRPr="00E15B53" w:rsidRDefault="00E15B53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 w:rsidRPr="00E15B53">
        <w:rPr>
          <w:b/>
          <w:bCs/>
          <w:sz w:val="28"/>
          <w:szCs w:val="28"/>
          <w:u w:val="single"/>
        </w:rPr>
        <w:t>Règlementation et politique de la concurrence</w:t>
      </w:r>
    </w:p>
    <w:p w14:paraId="11461F13" w14:textId="77777777" w:rsidR="00817E94" w:rsidRPr="00E15B53" w:rsidRDefault="00E15B53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 w:rsidRPr="00E15B53">
        <w:rPr>
          <w:b/>
          <w:bCs/>
          <w:sz w:val="28"/>
          <w:szCs w:val="28"/>
          <w:u w:val="single"/>
        </w:rPr>
        <w:t>Une étude de cas: « Le cartel des lessives »</w:t>
      </w:r>
    </w:p>
    <w:p w14:paraId="4A22CA5C" w14:textId="77777777" w:rsidR="00817E94" w:rsidRDefault="00817E94">
      <w:pPr>
        <w:pStyle w:val="Standard"/>
        <w:rPr>
          <w:rFonts w:hint="eastAsia"/>
        </w:rPr>
      </w:pPr>
    </w:p>
    <w:p w14:paraId="33B9F693" w14:textId="77777777" w:rsidR="00817E94" w:rsidRDefault="00E15B53">
      <w:pPr>
        <w:pStyle w:val="Titre2"/>
        <w:jc w:val="both"/>
        <w:rPr>
          <w:rFonts w:hint="eastAsia"/>
        </w:rPr>
      </w:pPr>
      <w:r>
        <w:rPr>
          <w:sz w:val="26"/>
          <w:szCs w:val="26"/>
        </w:rPr>
        <w:t xml:space="preserve">Une amende de 361,3 millions d'euros. C'est la somme globale que devront </w:t>
      </w:r>
      <w:hyperlink r:id="rId8" w:history="1">
        <w:r>
          <w:rPr>
            <w:sz w:val="26"/>
            <w:szCs w:val="26"/>
          </w:rPr>
          <w:t>acquitter</w:t>
        </w:r>
      </w:hyperlink>
      <w:r>
        <w:rPr>
          <w:sz w:val="26"/>
          <w:szCs w:val="26"/>
        </w:rPr>
        <w:t xml:space="preserve"> Unilever, Procter &amp; </w:t>
      </w:r>
      <w:proofErr w:type="spellStart"/>
      <w:r>
        <w:rPr>
          <w:sz w:val="26"/>
          <w:szCs w:val="26"/>
        </w:rPr>
        <w:t>Gamble</w:t>
      </w:r>
      <w:proofErr w:type="spellEnd"/>
      <w:r>
        <w:rPr>
          <w:sz w:val="26"/>
          <w:szCs w:val="26"/>
        </w:rPr>
        <w:t>, Henkel et Colgate-</w:t>
      </w:r>
      <w:proofErr w:type="spellStart"/>
      <w:r>
        <w:rPr>
          <w:sz w:val="26"/>
          <w:szCs w:val="26"/>
        </w:rPr>
        <w:t>Palmolive</w:t>
      </w:r>
      <w:proofErr w:type="spellEnd"/>
      <w:r>
        <w:rPr>
          <w:sz w:val="26"/>
          <w:szCs w:val="26"/>
        </w:rPr>
        <w:t xml:space="preserve">. Elle a été fixée, jeudi 8 décembre, par l'autorité française de la concurrence et vient </w:t>
      </w:r>
      <w:hyperlink r:id="rId9" w:history="1">
        <w:r>
          <w:rPr>
            <w:sz w:val="26"/>
            <w:szCs w:val="26"/>
          </w:rPr>
          <w:t>sanctionner</w:t>
        </w:r>
      </w:hyperlink>
      <w:r>
        <w:rPr>
          <w:sz w:val="26"/>
          <w:szCs w:val="26"/>
        </w:rPr>
        <w:t xml:space="preserve"> une entente sur les prix, qui a duré six ans, entre les quatre grands groupes internationaux fabricants des lessives en </w:t>
      </w:r>
      <w:hyperlink r:id="rId10" w:history="1">
        <w:r>
          <w:rPr>
            <w:sz w:val="26"/>
            <w:szCs w:val="26"/>
          </w:rPr>
          <w:t>France</w:t>
        </w:r>
      </w:hyperlink>
      <w:r>
        <w:rPr>
          <w:sz w:val="26"/>
          <w:szCs w:val="26"/>
        </w:rPr>
        <w:t>.</w:t>
      </w:r>
    </w:p>
    <w:p w14:paraId="0035465D" w14:textId="77777777" w:rsidR="00817E94" w:rsidRDefault="00E15B53">
      <w:pPr>
        <w:pStyle w:val="Textbody"/>
        <w:jc w:val="both"/>
        <w:rPr>
          <w:rFonts w:hint="eastAsia"/>
        </w:rPr>
      </w:pPr>
      <w:r>
        <w:rPr>
          <w:rStyle w:val="Accentuation"/>
        </w:rPr>
        <w:t xml:space="preserve">"Ces </w:t>
      </w:r>
      <w:hyperlink r:id="rId11" w:history="1">
        <w:r>
          <w:rPr>
            <w:rStyle w:val="Accentuation"/>
          </w:rPr>
          <w:t>entreprises</w:t>
        </w:r>
      </w:hyperlink>
      <w:r>
        <w:rPr>
          <w:rStyle w:val="Accentuation"/>
        </w:rPr>
        <w:t xml:space="preserve"> ont coordonné leurs stratégies commerciales en décidant en commun les prix de vente et les promotions qu'elles entendaient </w:t>
      </w:r>
      <w:hyperlink r:id="rId12" w:history="1">
        <w:r>
          <w:rPr>
            <w:rStyle w:val="Accentuation"/>
          </w:rPr>
          <w:t>pratiquer</w:t>
        </w:r>
      </w:hyperlink>
      <w:r>
        <w:rPr>
          <w:rStyle w:val="Accentuation"/>
        </w:rPr>
        <w:t xml:space="preserve"> auprès de la grande distribution en France",</w:t>
      </w:r>
      <w:r>
        <w:t xml:space="preserve"> et par voie de conséquence auprès du consommateur, indique l'Autorité de la concurrence.</w:t>
      </w:r>
    </w:p>
    <w:p w14:paraId="16D912EA" w14:textId="77777777" w:rsidR="00817E94" w:rsidRDefault="00E15B53">
      <w:pPr>
        <w:pStyle w:val="Textbody"/>
        <w:jc w:val="both"/>
        <w:rPr>
          <w:rFonts w:hint="eastAsia"/>
        </w:rPr>
      </w:pPr>
      <w:r>
        <w:t xml:space="preserve">Entre 1997 et 2004 – hormis quelques mois entre octobre 1998 et novembre 1999 – les quatre groupes se sont entendus pour </w:t>
      </w:r>
      <w:hyperlink r:id="rId13" w:history="1">
        <w:r>
          <w:t>décider</w:t>
        </w:r>
      </w:hyperlink>
      <w:r>
        <w:t xml:space="preserve"> des écarts de prix sur toutes les gammes des grandes marques de lessive commercialisées en France (Ariel, Skip, Le Chat, </w:t>
      </w:r>
      <w:proofErr w:type="spellStart"/>
      <w:r>
        <w:t>Dash</w:t>
      </w:r>
      <w:proofErr w:type="spellEnd"/>
      <w:r>
        <w:t xml:space="preserve">, Omo, Super Croix, Gama, Persil, et X </w:t>
      </w:r>
      <w:proofErr w:type="spellStart"/>
      <w:r>
        <w:t>Tra</w:t>
      </w:r>
      <w:proofErr w:type="spellEnd"/>
      <w:r>
        <w:t>), sous toutes leurs formes, qu'il s'agisse de lessive en poudre, liquide ou en tablettes.</w:t>
      </w:r>
    </w:p>
    <w:p w14:paraId="20B7462C" w14:textId="77777777" w:rsidR="00817E94" w:rsidRDefault="00E15B53">
      <w:pPr>
        <w:pStyle w:val="Textbody"/>
        <w:jc w:val="both"/>
        <w:rPr>
          <w:rFonts w:hint="eastAsia"/>
        </w:rPr>
      </w:pPr>
      <w:r>
        <w:t>L'affaire est digne d'un roman policier. Les directeurs commerciaux des filiales françaises se réunissaient trois à quatre fois par an, dans le plus grand secret, dans des hôtels ou des restaurants de la banlieue ouest parisienne (Marne-la Coquette, Louveciennes).</w:t>
      </w:r>
    </w:p>
    <w:p w14:paraId="320BB971" w14:textId="77777777" w:rsidR="00817E94" w:rsidRDefault="00E15B53">
      <w:pPr>
        <w:pStyle w:val="Textbody"/>
        <w:jc w:val="both"/>
        <w:rPr>
          <w:rFonts w:hint="eastAsia"/>
        </w:rPr>
      </w:pPr>
      <w:r>
        <w:t xml:space="preserve">Pour </w:t>
      </w:r>
      <w:hyperlink r:id="rId14" w:history="1">
        <w:r>
          <w:t>préserver</w:t>
        </w:r>
      </w:hyperlink>
      <w:r>
        <w:t xml:space="preserve"> le secret, ces réunions étaient baptisées "store </w:t>
      </w:r>
      <w:proofErr w:type="spellStart"/>
      <w:r>
        <w:t>checks</w:t>
      </w:r>
      <w:proofErr w:type="spellEnd"/>
      <w:r>
        <w:t xml:space="preserve">", </w:t>
      </w:r>
      <w:hyperlink r:id="rId15" w:history="1">
        <w:r>
          <w:t>vérification</w:t>
        </w:r>
      </w:hyperlink>
      <w:r>
        <w:t xml:space="preserve"> de magasin. Et, pour </w:t>
      </w:r>
      <w:hyperlink r:id="rId16" w:history="1">
        <w:r>
          <w:t>éviter</w:t>
        </w:r>
      </w:hyperlink>
      <w:r>
        <w:t xml:space="preserve"> toute fuite, les intéressés se donnaient des noms de codes : "Hugues" pour Henkel, "Pierre" pour Procter &amp; </w:t>
      </w:r>
      <w:proofErr w:type="spellStart"/>
      <w:r>
        <w:t>Gamble</w:t>
      </w:r>
      <w:proofErr w:type="spellEnd"/>
      <w:r>
        <w:t xml:space="preserve">, "Laurence" ou "Louis" pour </w:t>
      </w:r>
      <w:hyperlink r:id="rId17" w:history="1">
        <w:r>
          <w:t>Lever</w:t>
        </w:r>
      </w:hyperlink>
      <w:r>
        <w:t xml:space="preserve"> (Unilever) et "Christian" pour Colgate.</w:t>
      </w:r>
    </w:p>
    <w:p w14:paraId="06D5FD98" w14:textId="77777777" w:rsidR="00817E94" w:rsidRDefault="00E15B53">
      <w:pPr>
        <w:pStyle w:val="Textbody"/>
        <w:jc w:val="both"/>
        <w:rPr>
          <w:rFonts w:hint="eastAsia"/>
        </w:rPr>
      </w:pPr>
      <w:r>
        <w:lastRenderedPageBreak/>
        <w:t xml:space="preserve">Tous les documents confidentiels étaient gardés au domicile des salariés pour éviter qu'ils ne soient trouvés en cas de perquisition. </w:t>
      </w:r>
      <w:r>
        <w:rPr>
          <w:rStyle w:val="Accentuation"/>
        </w:rPr>
        <w:t xml:space="preserve">"Les directeurs généraux et PDG des filiales françaises de ces </w:t>
      </w:r>
      <w:hyperlink r:id="rId18" w:history="1">
        <w:r>
          <w:rPr>
            <w:rStyle w:val="Accentuation"/>
          </w:rPr>
          <w:t>société</w:t>
        </w:r>
      </w:hyperlink>
      <w:r>
        <w:rPr>
          <w:rStyle w:val="Accentuation"/>
        </w:rPr>
        <w:t xml:space="preserve">s pouvaient aussi </w:t>
      </w:r>
      <w:hyperlink r:id="rId19" w:history="1">
        <w:r>
          <w:rPr>
            <w:rStyle w:val="Accentuation"/>
          </w:rPr>
          <w:t>être</w:t>
        </w:r>
      </w:hyperlink>
      <w:r>
        <w:rPr>
          <w:rStyle w:val="Accentuation"/>
        </w:rPr>
        <w:t xml:space="preserve"> amenés à </w:t>
      </w:r>
      <w:hyperlink r:id="rId20" w:history="1">
        <w:r>
          <w:rPr>
            <w:rStyle w:val="Accentuation"/>
          </w:rPr>
          <w:t>intervenir</w:t>
        </w:r>
      </w:hyperlink>
      <w:r>
        <w:rPr>
          <w:rStyle w:val="Accentuation"/>
        </w:rPr>
        <w:t xml:space="preserve"> si les négociations achoppaient ou si le pacte convenu n'était pas respecté"</w:t>
      </w:r>
      <w:r>
        <w:t>, indique l'autorité de la concurrence.</w:t>
      </w:r>
    </w:p>
    <w:p w14:paraId="5A6E6604" w14:textId="77777777" w:rsidR="00817E94" w:rsidRDefault="00E15B53">
      <w:pPr>
        <w:pStyle w:val="Textbody"/>
        <w:jc w:val="both"/>
        <w:rPr>
          <w:rFonts w:hint="eastAsia"/>
        </w:rPr>
      </w:pPr>
      <w:r>
        <w:t xml:space="preserve">Ensemble, ils déterminaient par exemple que le prix de la lessive haut de gamme de Procter &amp; </w:t>
      </w:r>
      <w:proofErr w:type="spellStart"/>
      <w:r>
        <w:t>Gamble</w:t>
      </w:r>
      <w:proofErr w:type="spellEnd"/>
      <w:r>
        <w:t>, Ariel, était 3 % plus élevé que celui de Skip (Unilever) et du Chat (Henkel), qui, eux, étaient commercialisés au même prix.</w:t>
      </w:r>
    </w:p>
    <w:p w14:paraId="584C9153" w14:textId="77777777" w:rsidR="00817E94" w:rsidRDefault="00E15B53">
      <w:pPr>
        <w:pStyle w:val="Textbody"/>
        <w:jc w:val="both"/>
        <w:rPr>
          <w:rFonts w:hint="eastAsia"/>
        </w:rPr>
      </w:pPr>
      <w:r>
        <w:t xml:space="preserve">En contrepartie, dans le milieu de gamme, le prix de </w:t>
      </w:r>
      <w:proofErr w:type="spellStart"/>
      <w:r>
        <w:t>Dash</w:t>
      </w:r>
      <w:proofErr w:type="spellEnd"/>
      <w:r>
        <w:t xml:space="preserve"> (Procter &amp; </w:t>
      </w:r>
      <w:proofErr w:type="spellStart"/>
      <w:r>
        <w:t>Gamble</w:t>
      </w:r>
      <w:proofErr w:type="spellEnd"/>
      <w:r>
        <w:t xml:space="preserve">) était fixé à 10 % au-dessus de ceux d'Omo (Unilever), Super Croix (Henkel) et </w:t>
      </w:r>
      <w:proofErr w:type="spellStart"/>
      <w:r>
        <w:t>Axion</w:t>
      </w:r>
      <w:proofErr w:type="spellEnd"/>
      <w:r>
        <w:t xml:space="preserve"> (Colgate-</w:t>
      </w:r>
      <w:proofErr w:type="spellStart"/>
      <w:r>
        <w:t>Palmolive</w:t>
      </w:r>
      <w:proofErr w:type="spellEnd"/>
      <w:r>
        <w:t xml:space="preserve">), qui, eux, étaient tous alignés. Le tout donnait une apparence de concurrence entre les marques. </w:t>
      </w:r>
      <w:r>
        <w:rPr>
          <w:rStyle w:val="Accentuation"/>
        </w:rPr>
        <w:t>"Toutes les hausses de tarifs envisagées par les lessiviers pour le marché français faisaient ensuite l'objet d'une négociation commune, de façon à préserver le positionnement des différentes marques"</w:t>
      </w:r>
      <w:r>
        <w:t>, indique l'autorité de la concurrence.</w:t>
      </w:r>
    </w:p>
    <w:p w14:paraId="0C70103F" w14:textId="77777777" w:rsidR="00817E94" w:rsidRDefault="00E15B53">
      <w:pPr>
        <w:pStyle w:val="Textbody"/>
        <w:jc w:val="both"/>
        <w:rPr>
          <w:rFonts w:hint="eastAsia"/>
        </w:rPr>
      </w:pPr>
      <w:r>
        <w:t>De la même manière, le cartel des lessives discutait des opérations promotionnelles, de leur forme, du calendrier, du montant, du nombre, et de la communication… Produit par produit.</w:t>
      </w:r>
    </w:p>
    <w:p w14:paraId="422BF45D" w14:textId="77777777" w:rsidR="00817E94" w:rsidRDefault="00E15B53">
      <w:pPr>
        <w:pStyle w:val="Textbody"/>
        <w:spacing w:after="0"/>
        <w:jc w:val="right"/>
        <w:rPr>
          <w:rFonts w:hint="eastAsia"/>
        </w:rPr>
      </w:pPr>
      <w:r>
        <w:br/>
        <w:t xml:space="preserve">Source : </w:t>
      </w:r>
      <w:hyperlink r:id="rId21" w:history="1">
        <w:r>
          <w:t>http://www.lemonde.fr/economie/article/2011/12/08</w:t>
        </w:r>
      </w:hyperlink>
    </w:p>
    <w:p w14:paraId="2B4A6575" w14:textId="77777777" w:rsidR="00817E94" w:rsidRDefault="00817E94">
      <w:pPr>
        <w:pStyle w:val="Textbody"/>
        <w:spacing w:after="0"/>
        <w:rPr>
          <w:rFonts w:hint="eastAsia"/>
        </w:rPr>
      </w:pPr>
    </w:p>
    <w:p w14:paraId="602312E4" w14:textId="77777777" w:rsidR="00817E94" w:rsidRDefault="00E15B53">
      <w:pPr>
        <w:pStyle w:val="Textbody"/>
        <w:spacing w:after="0"/>
        <w:rPr>
          <w:rFonts w:hint="eastAsia"/>
        </w:rPr>
      </w:pPr>
      <w:r>
        <w:rPr>
          <w:b/>
          <w:bCs/>
          <w:u w:val="single"/>
        </w:rPr>
        <w:t>Questions :</w:t>
      </w:r>
    </w:p>
    <w:p w14:paraId="3C98A96B" w14:textId="77777777" w:rsidR="00817E94" w:rsidRDefault="00E15B53">
      <w:pPr>
        <w:pStyle w:val="Textbody"/>
        <w:spacing w:after="0"/>
        <w:rPr>
          <w:rFonts w:hint="eastAsia"/>
        </w:rPr>
      </w:pPr>
      <w:r>
        <w:t>1) Comment appelle-t-on le type d’organisation mises en place par ces entreprises ?</w:t>
      </w:r>
    </w:p>
    <w:p w14:paraId="47A839A0" w14:textId="77777777" w:rsidR="00817E94" w:rsidRDefault="00E15B53">
      <w:pPr>
        <w:pStyle w:val="Textbody"/>
        <w:spacing w:after="0"/>
        <w:rPr>
          <w:rFonts w:hint="eastAsia"/>
          <w:color w:val="0000FF"/>
        </w:rPr>
      </w:pPr>
      <w:r>
        <w:rPr>
          <w:color w:val="0000FF"/>
        </w:rPr>
        <w:t>=&gt; Notion de « cartel  de producteurs» [</w:t>
      </w:r>
      <w:r>
        <w:rPr>
          <w:i/>
          <w:iCs/>
          <w:color w:val="0000FF"/>
        </w:rPr>
        <w:t xml:space="preserve">voire </w:t>
      </w:r>
      <w:proofErr w:type="gramStart"/>
      <w:r>
        <w:rPr>
          <w:i/>
          <w:iCs/>
          <w:color w:val="0000FF"/>
        </w:rPr>
        <w:t>d’entente</w:t>
      </w:r>
      <w:r>
        <w:rPr>
          <w:color w:val="0000FF"/>
        </w:rPr>
        <w:t> ]</w:t>
      </w:r>
      <w:proofErr w:type="gramEnd"/>
      <w:r>
        <w:rPr>
          <w:color w:val="0000FF"/>
        </w:rPr>
        <w:t>.</w:t>
      </w:r>
    </w:p>
    <w:p w14:paraId="1BB77B1B" w14:textId="77777777" w:rsidR="00817E94" w:rsidRDefault="00817E94">
      <w:pPr>
        <w:pStyle w:val="Textbody"/>
        <w:spacing w:after="0"/>
        <w:rPr>
          <w:rFonts w:hint="eastAsia"/>
        </w:rPr>
      </w:pPr>
    </w:p>
    <w:p w14:paraId="68FA7553" w14:textId="77777777" w:rsidR="00817E94" w:rsidRDefault="00E15B53">
      <w:pPr>
        <w:pStyle w:val="Textbody"/>
        <w:spacing w:after="0"/>
        <w:rPr>
          <w:rFonts w:hint="eastAsia"/>
        </w:rPr>
      </w:pPr>
      <w:r>
        <w:t>2) Quel est l’intérêt stratégique de ces entreprises ?</w:t>
      </w:r>
    </w:p>
    <w:p w14:paraId="6B73EC08" w14:textId="77777777" w:rsidR="00817E94" w:rsidRDefault="00E15B53">
      <w:pPr>
        <w:pStyle w:val="Textbody"/>
        <w:spacing w:after="0"/>
        <w:rPr>
          <w:rFonts w:hint="eastAsia"/>
          <w:color w:val="0000FF"/>
        </w:rPr>
      </w:pPr>
      <w:r>
        <w:rPr>
          <w:color w:val="0000FF"/>
        </w:rPr>
        <w:t>=&gt; Notion de pouvoir de marché, faiseur de prix.</w:t>
      </w:r>
    </w:p>
    <w:p w14:paraId="5932EAE9" w14:textId="77777777" w:rsidR="00817E94" w:rsidRDefault="00817E94">
      <w:pPr>
        <w:pStyle w:val="Textbody"/>
        <w:spacing w:after="0"/>
        <w:rPr>
          <w:rFonts w:hint="eastAsia"/>
        </w:rPr>
      </w:pPr>
    </w:p>
    <w:p w14:paraId="116ADE2A" w14:textId="77777777" w:rsidR="00817E94" w:rsidRDefault="00E15B53">
      <w:pPr>
        <w:pStyle w:val="Textbody"/>
        <w:spacing w:after="0"/>
        <w:rPr>
          <w:rFonts w:hint="eastAsia"/>
        </w:rPr>
      </w:pPr>
      <w:r>
        <w:t>3) Comment se sont-elles organisées pour obtenir un pouvoir sur le marché ?</w:t>
      </w:r>
    </w:p>
    <w:p w14:paraId="4BD9ABDA" w14:textId="77777777" w:rsidR="00817E94" w:rsidRDefault="00E15B53">
      <w:pPr>
        <w:pStyle w:val="Textbody"/>
        <w:spacing w:after="0"/>
        <w:rPr>
          <w:rFonts w:hint="eastAsia"/>
          <w:color w:val="0000FF"/>
        </w:rPr>
      </w:pPr>
      <w:r>
        <w:rPr>
          <w:color w:val="0000FF"/>
        </w:rPr>
        <w:t>=&gt; La construction d’une entente dans le cadre d’un oligopole.</w:t>
      </w:r>
    </w:p>
    <w:p w14:paraId="78A2A5AE" w14:textId="77777777" w:rsidR="00817E94" w:rsidRDefault="00817E94">
      <w:pPr>
        <w:pStyle w:val="Textbody"/>
        <w:spacing w:after="0"/>
        <w:rPr>
          <w:rFonts w:hint="eastAsia"/>
        </w:rPr>
      </w:pPr>
    </w:p>
    <w:p w14:paraId="12BAFC19" w14:textId="77777777" w:rsidR="00817E94" w:rsidRDefault="00E15B53">
      <w:pPr>
        <w:pStyle w:val="Textbody"/>
        <w:spacing w:after="0"/>
        <w:rPr>
          <w:rFonts w:hint="eastAsia"/>
        </w:rPr>
      </w:pPr>
      <w:r>
        <w:t>4) En quoi cette organisation du marché peut-elle nuire aux consommateurs ?</w:t>
      </w:r>
    </w:p>
    <w:p w14:paraId="2A661689" w14:textId="77777777" w:rsidR="00817E94" w:rsidRDefault="00E15B53">
      <w:pPr>
        <w:pStyle w:val="Textbody"/>
        <w:spacing w:after="0"/>
        <w:rPr>
          <w:rFonts w:hint="eastAsia"/>
          <w:color w:val="0000FF"/>
        </w:rPr>
      </w:pPr>
      <w:r>
        <w:rPr>
          <w:color w:val="0000FF"/>
        </w:rPr>
        <w:t>=&gt; Abus de position dominante.</w:t>
      </w:r>
    </w:p>
    <w:p w14:paraId="297B5C3D" w14:textId="77777777" w:rsidR="00817E94" w:rsidRDefault="00817E94">
      <w:pPr>
        <w:pStyle w:val="Textbody"/>
        <w:spacing w:after="0"/>
        <w:rPr>
          <w:rFonts w:hint="eastAsia"/>
        </w:rPr>
      </w:pPr>
    </w:p>
    <w:p w14:paraId="7C8E5B29" w14:textId="77777777" w:rsidR="00817E94" w:rsidRDefault="00E15B53">
      <w:pPr>
        <w:pStyle w:val="Textbody"/>
        <w:spacing w:after="0"/>
        <w:rPr>
          <w:rFonts w:hint="eastAsia"/>
        </w:rPr>
      </w:pPr>
      <w:r>
        <w:t>5) Quel  rôle joue, ici, l’autorité française de la concurrence ?</w:t>
      </w:r>
    </w:p>
    <w:p w14:paraId="7C4C2D46" w14:textId="77777777" w:rsidR="00817E94" w:rsidRDefault="00E15B53">
      <w:pPr>
        <w:pStyle w:val="Textbody"/>
        <w:spacing w:after="0"/>
        <w:rPr>
          <w:rFonts w:hint="eastAsia"/>
          <w:color w:val="0000FF"/>
        </w:rPr>
      </w:pPr>
      <w:r>
        <w:rPr>
          <w:color w:val="0000FF"/>
        </w:rPr>
        <w:t>=&gt; Sanction (Réglementation) et amende (sa détermination) …</w:t>
      </w:r>
    </w:p>
    <w:p w14:paraId="1171E087" w14:textId="77777777" w:rsidR="00817E94" w:rsidRDefault="00817E94">
      <w:pPr>
        <w:pStyle w:val="Textbody"/>
        <w:spacing w:after="0"/>
        <w:rPr>
          <w:rFonts w:hint="eastAsia"/>
        </w:rPr>
      </w:pPr>
    </w:p>
    <w:p w14:paraId="58BF4587" w14:textId="77777777" w:rsidR="00817E94" w:rsidRDefault="00E15B53">
      <w:pPr>
        <w:pStyle w:val="Textbody"/>
        <w:spacing w:after="0"/>
        <w:rPr>
          <w:rFonts w:hint="eastAsia"/>
        </w:rPr>
      </w:pPr>
      <w:r>
        <w:t>6) La sanction vous semble-t-elle efficace ?</w:t>
      </w:r>
    </w:p>
    <w:p w14:paraId="3CDB2582" w14:textId="77777777" w:rsidR="00817E94" w:rsidRDefault="00E15B53">
      <w:pPr>
        <w:pStyle w:val="Textbody"/>
        <w:spacing w:after="0"/>
        <w:rPr>
          <w:rFonts w:hint="eastAsia"/>
          <w:color w:val="0000FF"/>
        </w:rPr>
      </w:pPr>
      <w:r>
        <w:rPr>
          <w:color w:val="0000FF"/>
        </w:rPr>
        <w:t>=&gt; Réflexion sur le montant de l’amende par rapport au chiffre d’affaire.</w:t>
      </w:r>
    </w:p>
    <w:p w14:paraId="3E3AC16C" w14:textId="77777777" w:rsidR="00817E94" w:rsidRDefault="00817E94">
      <w:pPr>
        <w:pStyle w:val="Textbody"/>
        <w:spacing w:after="0"/>
        <w:rPr>
          <w:rFonts w:hint="eastAsia"/>
        </w:rPr>
      </w:pPr>
    </w:p>
    <w:p w14:paraId="6F1B13DD" w14:textId="77777777" w:rsidR="00817E94" w:rsidRDefault="00817E94">
      <w:pPr>
        <w:pStyle w:val="Standard"/>
        <w:rPr>
          <w:rFonts w:hint="eastAsia"/>
        </w:rPr>
      </w:pPr>
    </w:p>
    <w:sectPr w:rsidR="00817E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F606D" w14:textId="77777777" w:rsidR="006B0446" w:rsidRDefault="00E15B53">
      <w:pPr>
        <w:rPr>
          <w:rFonts w:hint="eastAsia"/>
        </w:rPr>
      </w:pPr>
      <w:r>
        <w:separator/>
      </w:r>
    </w:p>
  </w:endnote>
  <w:endnote w:type="continuationSeparator" w:id="0">
    <w:p w14:paraId="7B92FFCB" w14:textId="77777777" w:rsidR="006B0446" w:rsidRDefault="00E15B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F7FF" w14:textId="77777777" w:rsidR="006B0446" w:rsidRDefault="00E15B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AF90A5" w14:textId="77777777" w:rsidR="006B0446" w:rsidRDefault="00E15B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D7D"/>
    <w:multiLevelType w:val="multilevel"/>
    <w:tmpl w:val="A23AF61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7E94"/>
    <w:rsid w:val="006B0446"/>
    <w:rsid w:val="00817E94"/>
    <w:rsid w:val="00E15B53"/>
    <w:rsid w:val="00F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3F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ccentuation">
    <w:name w:val="Emphasis"/>
    <w:rPr>
      <w:i/>
      <w:iCs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ccentuation">
    <w:name w:val="Emphasis"/>
    <w:rPr>
      <w:i/>
      <w:iCs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njugaison.lemonde.fr/conjugaison/premier-groupe/sanctionner/" TargetMode="External"/><Relationship Id="rId20" Type="http://schemas.openxmlformats.org/officeDocument/2006/relationships/hyperlink" Target="http://conjugaison.lemonde.fr/conjugaison/troisieme-groupe/intervenir/" TargetMode="External"/><Relationship Id="rId21" Type="http://schemas.openxmlformats.org/officeDocument/2006/relationships/hyperlink" Target="http://www.lemonde.fr/economie/article/2011/12/08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lemonde.fr/europeennes-france/" TargetMode="External"/><Relationship Id="rId11" Type="http://schemas.openxmlformats.org/officeDocument/2006/relationships/hyperlink" Target="http://www.lemonde.fr/entreprises/" TargetMode="External"/><Relationship Id="rId12" Type="http://schemas.openxmlformats.org/officeDocument/2006/relationships/hyperlink" Target="http://conjugaison.lemonde.fr/conjugaison/premier-groupe/pratiquer/" TargetMode="External"/><Relationship Id="rId13" Type="http://schemas.openxmlformats.org/officeDocument/2006/relationships/hyperlink" Target="http://conjugaison.lemonde.fr/conjugaison/premier-groupe/d&#233;cider/" TargetMode="External"/><Relationship Id="rId14" Type="http://schemas.openxmlformats.org/officeDocument/2006/relationships/hyperlink" Target="http://conjugaison.lemonde.fr/conjugaison/premier-groupe/pr&#233;server/" TargetMode="External"/><Relationship Id="rId15" Type="http://schemas.openxmlformats.org/officeDocument/2006/relationships/hyperlink" Target="http://www.lemonde.fr/verification/" TargetMode="External"/><Relationship Id="rId16" Type="http://schemas.openxmlformats.org/officeDocument/2006/relationships/hyperlink" Target="http://conjugaison.lemonde.fr/conjugaison/premier-groupe/&#233;viter/" TargetMode="External"/><Relationship Id="rId17" Type="http://schemas.openxmlformats.org/officeDocument/2006/relationships/hyperlink" Target="http://conjugaison.lemonde.fr/conjugaison/premier-groupe/lever/" TargetMode="External"/><Relationship Id="rId18" Type="http://schemas.openxmlformats.org/officeDocument/2006/relationships/hyperlink" Target="http://www.lemonde.fr/societe/" TargetMode="External"/><Relationship Id="rId19" Type="http://schemas.openxmlformats.org/officeDocument/2006/relationships/hyperlink" Target="http://conjugaison.lemonde.fr/conjugaison/auxiliaire/&#234;tr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jugaison.lemonde.fr/conjugaison/premier-groupe/acquitt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902</Words>
  <Characters>4961</Characters>
  <Application>Microsoft Macintosh Word</Application>
  <DocSecurity>0</DocSecurity>
  <Lines>41</Lines>
  <Paragraphs>11</Paragraphs>
  <ScaleCrop>false</ScaleCrop>
  <Company>DUMOULIN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Lafon</cp:lastModifiedBy>
  <cp:revision>2</cp:revision>
  <dcterms:created xsi:type="dcterms:W3CDTF">2016-12-02T14:36:00Z</dcterms:created>
  <dcterms:modified xsi:type="dcterms:W3CDTF">2017-02-25T10:22:00Z</dcterms:modified>
</cp:coreProperties>
</file>