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56"/>
        <w:gridCol w:w="6744"/>
      </w:tblGrid>
      <w:tr w:rsidR="007337F2" w:rsidRPr="00617E61" w14:paraId="6F29A8C7" w14:textId="77777777" w:rsidTr="007337F2">
        <w:trPr>
          <w:tblCellSpacing w:w="0" w:type="dxa"/>
        </w:trPr>
        <w:tc>
          <w:tcPr>
            <w:tcW w:w="9300" w:type="dxa"/>
            <w:gridSpan w:val="2"/>
            <w:tcBorders>
              <w:top w:val="outset" w:sz="6" w:space="0" w:color="000000"/>
              <w:left w:val="outset" w:sz="6" w:space="0" w:color="000000"/>
              <w:bottom w:val="outset" w:sz="6" w:space="0" w:color="000000"/>
              <w:right w:val="outset" w:sz="6" w:space="0" w:color="000000"/>
            </w:tcBorders>
            <w:shd w:val="clear" w:color="auto" w:fill="FDE9D9" w:themeFill="accent6" w:themeFillTint="33"/>
            <w:hideMark/>
          </w:tcPr>
          <w:p w14:paraId="087A84F4" w14:textId="77777777" w:rsidR="007337F2" w:rsidRDefault="007337F2" w:rsidP="00A91428">
            <w:pPr>
              <w:spacing w:before="100" w:beforeAutospacing="1" w:after="0" w:line="240" w:lineRule="auto"/>
              <w:jc w:val="center"/>
              <w:rPr>
                <w:rFonts w:ascii="Times New Roman" w:eastAsia="Times New Roman" w:hAnsi="Times New Roman" w:cs="Times New Roman"/>
                <w:b/>
                <w:bCs/>
                <w:sz w:val="24"/>
                <w:szCs w:val="24"/>
                <w:lang w:eastAsia="fr-FR"/>
              </w:rPr>
            </w:pPr>
            <w:r w:rsidRPr="00617E61">
              <w:rPr>
                <w:rFonts w:ascii="Times New Roman" w:eastAsia="Times New Roman" w:hAnsi="Times New Roman" w:cs="Times New Roman"/>
                <w:b/>
                <w:bCs/>
                <w:sz w:val="24"/>
                <w:szCs w:val="24"/>
                <w:lang w:eastAsia="fr-FR"/>
              </w:rPr>
              <w:t>Académie de la Réunion, année scolaire 2015-2016</w:t>
            </w:r>
          </w:p>
          <w:p w14:paraId="5F4B46F3" w14:textId="77777777" w:rsidR="007337F2" w:rsidRPr="00617E61" w:rsidRDefault="007337F2" w:rsidP="00A91428">
            <w:pPr>
              <w:spacing w:before="100" w:beforeAutospacing="1" w:after="0" w:line="240" w:lineRule="auto"/>
              <w:jc w:val="center"/>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sz w:val="24"/>
                <w:szCs w:val="24"/>
                <w:lang w:eastAsia="fr-FR"/>
              </w:rPr>
              <w:t>Enseignement de spécialité Economie approfondie</w:t>
            </w:r>
          </w:p>
          <w:p w14:paraId="65EDCEF6" w14:textId="77777777" w:rsidR="007337F2" w:rsidRPr="00A831F5" w:rsidRDefault="007337F2" w:rsidP="00A91428">
            <w:pPr>
              <w:spacing w:before="100" w:beforeAutospacing="1" w:after="119" w:line="240" w:lineRule="auto"/>
              <w:jc w:val="center"/>
              <w:rPr>
                <w:rFonts w:ascii="Times New Roman" w:eastAsia="Times New Roman" w:hAnsi="Times New Roman" w:cs="Times New Roman"/>
                <w:b/>
                <w:i/>
                <w:sz w:val="24"/>
                <w:szCs w:val="24"/>
                <w:lang w:eastAsia="fr-FR"/>
              </w:rPr>
            </w:pPr>
            <w:r w:rsidRPr="00A831F5">
              <w:rPr>
                <w:rFonts w:ascii="Times New Roman" w:eastAsia="Times New Roman" w:hAnsi="Times New Roman" w:cs="Times New Roman"/>
                <w:b/>
                <w:bCs/>
                <w:i/>
                <w:sz w:val="24"/>
                <w:szCs w:val="24"/>
                <w:lang w:eastAsia="fr-FR"/>
              </w:rPr>
              <w:t>Les enjeux et limites des politiques monétaires non conventionnelles de la BCE</w:t>
            </w:r>
          </w:p>
        </w:tc>
      </w:tr>
      <w:tr w:rsidR="007337F2" w:rsidRPr="00617E61" w14:paraId="14B66FFF" w14:textId="77777777" w:rsidTr="007337F2">
        <w:trPr>
          <w:tblCellSpacing w:w="0" w:type="dxa"/>
        </w:trPr>
        <w:tc>
          <w:tcPr>
            <w:tcW w:w="2556" w:type="dxa"/>
            <w:tcBorders>
              <w:top w:val="outset" w:sz="6" w:space="0" w:color="000000"/>
              <w:left w:val="outset" w:sz="6" w:space="0" w:color="000000"/>
              <w:bottom w:val="outset" w:sz="6" w:space="0" w:color="000000"/>
              <w:right w:val="outset" w:sz="6" w:space="0" w:color="000000"/>
            </w:tcBorders>
            <w:hideMark/>
          </w:tcPr>
          <w:p w14:paraId="2C3CCC56"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Niveau</w:t>
            </w:r>
          </w:p>
        </w:tc>
        <w:tc>
          <w:tcPr>
            <w:tcW w:w="6744" w:type="dxa"/>
            <w:tcBorders>
              <w:top w:val="outset" w:sz="6" w:space="0" w:color="000000"/>
              <w:left w:val="outset" w:sz="6" w:space="0" w:color="000000"/>
              <w:bottom w:val="outset" w:sz="6" w:space="0" w:color="000000"/>
              <w:right w:val="outset" w:sz="6" w:space="0" w:color="000000"/>
            </w:tcBorders>
            <w:hideMark/>
          </w:tcPr>
          <w:p w14:paraId="3377C467"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sz w:val="24"/>
                <w:szCs w:val="24"/>
                <w:lang w:eastAsia="fr-FR"/>
              </w:rPr>
              <w:t>Terminale</w:t>
            </w:r>
          </w:p>
        </w:tc>
      </w:tr>
      <w:tr w:rsidR="007337F2" w:rsidRPr="00617E61" w14:paraId="5D3BCA00" w14:textId="77777777" w:rsidTr="007337F2">
        <w:trPr>
          <w:tblCellSpacing w:w="0" w:type="dxa"/>
        </w:trPr>
        <w:tc>
          <w:tcPr>
            <w:tcW w:w="2556" w:type="dxa"/>
            <w:tcBorders>
              <w:top w:val="outset" w:sz="6" w:space="0" w:color="000000"/>
              <w:left w:val="outset" w:sz="6" w:space="0" w:color="000000"/>
              <w:bottom w:val="outset" w:sz="6" w:space="0" w:color="000000"/>
              <w:right w:val="outset" w:sz="6" w:space="0" w:color="000000"/>
            </w:tcBorders>
            <w:hideMark/>
          </w:tcPr>
          <w:p w14:paraId="35F3558A"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Thème général</w:t>
            </w:r>
          </w:p>
        </w:tc>
        <w:tc>
          <w:tcPr>
            <w:tcW w:w="6744" w:type="dxa"/>
            <w:tcBorders>
              <w:top w:val="outset" w:sz="6" w:space="0" w:color="000000"/>
              <w:left w:val="outset" w:sz="6" w:space="0" w:color="000000"/>
              <w:bottom w:val="outset" w:sz="6" w:space="0" w:color="000000"/>
              <w:right w:val="outset" w:sz="6" w:space="0" w:color="000000"/>
            </w:tcBorders>
            <w:hideMark/>
          </w:tcPr>
          <w:p w14:paraId="5325690C"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Instabilité financière et régulation</w:t>
            </w:r>
          </w:p>
        </w:tc>
      </w:tr>
      <w:tr w:rsidR="007337F2" w:rsidRPr="00617E61" w14:paraId="2AB9426F" w14:textId="77777777" w:rsidTr="007337F2">
        <w:trPr>
          <w:tblCellSpacing w:w="0" w:type="dxa"/>
        </w:trPr>
        <w:tc>
          <w:tcPr>
            <w:tcW w:w="2556" w:type="dxa"/>
            <w:tcBorders>
              <w:top w:val="outset" w:sz="6" w:space="0" w:color="000000"/>
              <w:left w:val="outset" w:sz="6" w:space="0" w:color="000000"/>
              <w:bottom w:val="outset" w:sz="6" w:space="0" w:color="000000"/>
              <w:right w:val="outset" w:sz="6" w:space="0" w:color="000000"/>
            </w:tcBorders>
            <w:hideMark/>
          </w:tcPr>
          <w:p w14:paraId="59C13744"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Thème spécifique3.2. Comment expliquer les crises financières et réguler le système financier ?</w:t>
            </w:r>
          </w:p>
        </w:tc>
        <w:tc>
          <w:tcPr>
            <w:tcW w:w="6744" w:type="dxa"/>
            <w:tcBorders>
              <w:top w:val="outset" w:sz="6" w:space="0" w:color="000000"/>
              <w:left w:val="outset" w:sz="6" w:space="0" w:color="000000"/>
              <w:bottom w:val="outset" w:sz="6" w:space="0" w:color="000000"/>
              <w:right w:val="outset" w:sz="6" w:space="0" w:color="000000"/>
            </w:tcBorders>
            <w:hideMark/>
          </w:tcPr>
          <w:p w14:paraId="647220AA" w14:textId="77777777" w:rsidR="007337F2" w:rsidRPr="00617E61" w:rsidRDefault="007337F2" w:rsidP="00A91428">
            <w:pPr>
              <w:spacing w:before="100" w:beforeAutospacing="1" w:after="0"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sz w:val="24"/>
                <w:szCs w:val="24"/>
                <w:lang w:eastAsia="fr-FR"/>
              </w:rPr>
              <w:t>Thème du programme</w:t>
            </w:r>
          </w:p>
          <w:p w14:paraId="095C085B"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3.2. Comment expliquer les crises financières et réguler le système financier ?</w:t>
            </w:r>
          </w:p>
        </w:tc>
      </w:tr>
      <w:tr w:rsidR="007337F2" w:rsidRPr="00617E61" w14:paraId="50053ABC" w14:textId="77777777" w:rsidTr="007337F2">
        <w:trPr>
          <w:tblCellSpacing w:w="0" w:type="dxa"/>
        </w:trPr>
        <w:tc>
          <w:tcPr>
            <w:tcW w:w="2556" w:type="dxa"/>
            <w:tcBorders>
              <w:top w:val="outset" w:sz="6" w:space="0" w:color="000000"/>
              <w:left w:val="outset" w:sz="6" w:space="0" w:color="000000"/>
              <w:bottom w:val="outset" w:sz="6" w:space="0" w:color="000000"/>
              <w:right w:val="outset" w:sz="6" w:space="0" w:color="000000"/>
            </w:tcBorders>
            <w:hideMark/>
          </w:tcPr>
          <w:p w14:paraId="203658B8"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Notions </w:t>
            </w:r>
          </w:p>
        </w:tc>
        <w:tc>
          <w:tcPr>
            <w:tcW w:w="6744" w:type="dxa"/>
            <w:tcBorders>
              <w:top w:val="outset" w:sz="6" w:space="0" w:color="000000"/>
              <w:left w:val="outset" w:sz="6" w:space="0" w:color="000000"/>
              <w:bottom w:val="outset" w:sz="6" w:space="0" w:color="000000"/>
              <w:right w:val="outset" w:sz="6" w:space="0" w:color="000000"/>
            </w:tcBorders>
            <w:hideMark/>
          </w:tcPr>
          <w:p w14:paraId="5FF64DC1" w14:textId="77777777" w:rsidR="007337F2" w:rsidRPr="00D71F1A" w:rsidRDefault="007337F2" w:rsidP="00A91428">
            <w:pPr>
              <w:spacing w:before="100" w:beforeAutospacing="1" w:after="119" w:line="240" w:lineRule="auto"/>
              <w:rPr>
                <w:rFonts w:ascii="Times New Roman" w:eastAsia="Times New Roman" w:hAnsi="Times New Roman" w:cs="Times New Roman"/>
                <w:b/>
                <w:bCs/>
                <w:sz w:val="24"/>
                <w:szCs w:val="24"/>
                <w:lang w:eastAsia="fr-FR"/>
              </w:rPr>
            </w:pPr>
            <w:r w:rsidRPr="00617E61">
              <w:rPr>
                <w:rFonts w:ascii="Times New Roman" w:eastAsia="Times New Roman" w:hAnsi="Times New Roman" w:cs="Times New Roman"/>
                <w:b/>
                <w:bCs/>
                <w:sz w:val="24"/>
                <w:szCs w:val="24"/>
                <w:lang w:eastAsia="fr-FR"/>
              </w:rPr>
              <w:t>Aléa moral, risque systémique, comportement mimétique, régulation.</w:t>
            </w:r>
          </w:p>
          <w:p w14:paraId="0711C6D3"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Acquis de première : asymétrie d'information, risque de crédit.</w:t>
            </w:r>
          </w:p>
        </w:tc>
      </w:tr>
      <w:tr w:rsidR="007337F2" w:rsidRPr="00617E61" w14:paraId="7A1DB5B8" w14:textId="77777777" w:rsidTr="007337F2">
        <w:trPr>
          <w:tblCellSpacing w:w="0" w:type="dxa"/>
        </w:trPr>
        <w:tc>
          <w:tcPr>
            <w:tcW w:w="2556" w:type="dxa"/>
            <w:tcBorders>
              <w:top w:val="outset" w:sz="6" w:space="0" w:color="000000"/>
              <w:left w:val="outset" w:sz="6" w:space="0" w:color="000000"/>
              <w:bottom w:val="outset" w:sz="6" w:space="0" w:color="000000"/>
              <w:right w:val="outset" w:sz="6" w:space="0" w:color="000000"/>
            </w:tcBorders>
            <w:hideMark/>
          </w:tcPr>
          <w:p w14:paraId="73AB0CF8"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Savoir-faire</w:t>
            </w:r>
          </w:p>
        </w:tc>
        <w:tc>
          <w:tcPr>
            <w:tcW w:w="6744" w:type="dxa"/>
            <w:tcBorders>
              <w:top w:val="outset" w:sz="6" w:space="0" w:color="000000"/>
              <w:left w:val="outset" w:sz="6" w:space="0" w:color="000000"/>
              <w:bottom w:val="outset" w:sz="6" w:space="0" w:color="000000"/>
              <w:right w:val="outset" w:sz="6" w:space="0" w:color="000000"/>
            </w:tcBorders>
            <w:shd w:val="clear" w:color="auto" w:fill="auto"/>
            <w:hideMark/>
          </w:tcPr>
          <w:p w14:paraId="041D7BA9"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D71F1A">
              <w:rPr>
                <w:rFonts w:ascii="Times New Roman" w:hAnsi="Times New Roman" w:cs="Times New Roman"/>
                <w:b/>
                <w:color w:val="000000"/>
                <w:sz w:val="24"/>
                <w:szCs w:val="24"/>
                <w:shd w:val="clear" w:color="auto" w:fill="E8F3F4"/>
              </w:rPr>
              <w:t>On présentera les mécanismes susceptibles d'engendrer un choc systémique, en insistant particulièrement sur les déséquilibres macro-économiques, les anticipations mimétiques et l'aléa moral</w:t>
            </w:r>
          </w:p>
        </w:tc>
      </w:tr>
      <w:tr w:rsidR="007337F2" w:rsidRPr="00617E61" w14:paraId="430C608D" w14:textId="77777777" w:rsidTr="007337F2">
        <w:trPr>
          <w:tblCellSpacing w:w="0" w:type="dxa"/>
        </w:trPr>
        <w:tc>
          <w:tcPr>
            <w:tcW w:w="2556" w:type="dxa"/>
            <w:tcBorders>
              <w:top w:val="outset" w:sz="6" w:space="0" w:color="000000"/>
              <w:left w:val="outset" w:sz="6" w:space="0" w:color="000000"/>
              <w:bottom w:val="outset" w:sz="6" w:space="0" w:color="000000"/>
              <w:right w:val="outset" w:sz="6" w:space="0" w:color="000000"/>
            </w:tcBorders>
            <w:hideMark/>
          </w:tcPr>
          <w:p w14:paraId="60D13DF1"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Cadre d’utilisation</w:t>
            </w:r>
          </w:p>
        </w:tc>
        <w:tc>
          <w:tcPr>
            <w:tcW w:w="6744" w:type="dxa"/>
            <w:tcBorders>
              <w:top w:val="outset" w:sz="6" w:space="0" w:color="000000"/>
              <w:left w:val="outset" w:sz="6" w:space="0" w:color="000000"/>
              <w:bottom w:val="outset" w:sz="6" w:space="0" w:color="000000"/>
              <w:right w:val="outset" w:sz="6" w:space="0" w:color="000000"/>
            </w:tcBorders>
            <w:hideMark/>
          </w:tcPr>
          <w:p w14:paraId="5642282E"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Enseignement de spécialité Economie approfondie</w:t>
            </w:r>
          </w:p>
        </w:tc>
      </w:tr>
      <w:tr w:rsidR="007337F2" w:rsidRPr="00617E61" w14:paraId="77307AB6" w14:textId="77777777" w:rsidTr="007337F2">
        <w:trPr>
          <w:tblCellSpacing w:w="0" w:type="dxa"/>
        </w:trPr>
        <w:tc>
          <w:tcPr>
            <w:tcW w:w="2556" w:type="dxa"/>
            <w:tcBorders>
              <w:top w:val="outset" w:sz="6" w:space="0" w:color="000000"/>
              <w:left w:val="outset" w:sz="6" w:space="0" w:color="000000"/>
              <w:bottom w:val="outset" w:sz="6" w:space="0" w:color="000000"/>
              <w:right w:val="outset" w:sz="6" w:space="0" w:color="000000"/>
            </w:tcBorders>
            <w:hideMark/>
          </w:tcPr>
          <w:p w14:paraId="4CE0D405"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Objectifs pédagogiques</w:t>
            </w:r>
          </w:p>
        </w:tc>
        <w:tc>
          <w:tcPr>
            <w:tcW w:w="6744" w:type="dxa"/>
            <w:tcBorders>
              <w:top w:val="outset" w:sz="6" w:space="0" w:color="000000"/>
              <w:left w:val="outset" w:sz="6" w:space="0" w:color="000000"/>
              <w:bottom w:val="outset" w:sz="6" w:space="0" w:color="000000"/>
              <w:right w:val="outset" w:sz="6" w:space="0" w:color="000000"/>
            </w:tcBorders>
            <w:hideMark/>
          </w:tcPr>
          <w:p w14:paraId="683292A4"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Comprendre quels sont les enjeux et limites des politiques monétaires non conventionnelles de la BCE</w:t>
            </w:r>
          </w:p>
        </w:tc>
      </w:tr>
      <w:tr w:rsidR="007337F2" w:rsidRPr="00617E61" w14:paraId="33FF573B" w14:textId="77777777" w:rsidTr="007337F2">
        <w:trPr>
          <w:tblCellSpacing w:w="0" w:type="dxa"/>
        </w:trPr>
        <w:tc>
          <w:tcPr>
            <w:tcW w:w="2556" w:type="dxa"/>
            <w:tcBorders>
              <w:top w:val="outset" w:sz="6" w:space="0" w:color="000000"/>
              <w:left w:val="outset" w:sz="6" w:space="0" w:color="000000"/>
              <w:bottom w:val="outset" w:sz="6" w:space="0" w:color="000000"/>
              <w:right w:val="outset" w:sz="6" w:space="0" w:color="000000"/>
            </w:tcBorders>
            <w:hideMark/>
          </w:tcPr>
          <w:p w14:paraId="19E08FDB"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Démarche</w:t>
            </w:r>
          </w:p>
        </w:tc>
        <w:tc>
          <w:tcPr>
            <w:tcW w:w="6744" w:type="dxa"/>
            <w:tcBorders>
              <w:top w:val="outset" w:sz="6" w:space="0" w:color="000000"/>
              <w:left w:val="outset" w:sz="6" w:space="0" w:color="000000"/>
              <w:bottom w:val="outset" w:sz="6" w:space="0" w:color="000000"/>
              <w:right w:val="outset" w:sz="6" w:space="0" w:color="000000"/>
            </w:tcBorders>
            <w:hideMark/>
          </w:tcPr>
          <w:p w14:paraId="56FB8239" w14:textId="77777777" w:rsidR="007337F2" w:rsidRDefault="007337F2" w:rsidP="00A91428">
            <w:pPr>
              <w:spacing w:before="100" w:beforeAutospacing="1" w:after="119" w:line="240" w:lineRule="auto"/>
            </w:pPr>
            <w:r>
              <w:rPr>
                <w:rFonts w:ascii="Times New Roman" w:eastAsia="Times New Roman" w:hAnsi="Times New Roman" w:cs="Times New Roman"/>
                <w:b/>
                <w:sz w:val="24"/>
                <w:szCs w:val="24"/>
                <w:lang w:eastAsia="fr-FR"/>
              </w:rPr>
              <w:t>Comprendre les enjeux des politiques monétaires non conventionnelles de la BCE:</w:t>
            </w:r>
            <w:r>
              <w:t xml:space="preserve"> </w:t>
            </w:r>
          </w:p>
          <w:p w14:paraId="09BFB15B" w14:textId="77777777" w:rsidR="007337F2" w:rsidRDefault="00D9529B" w:rsidP="00A91428">
            <w:pPr>
              <w:spacing w:before="100" w:beforeAutospacing="1" w:after="119" w:line="240" w:lineRule="auto"/>
              <w:rPr>
                <w:rFonts w:ascii="Times New Roman" w:eastAsia="Times New Roman" w:hAnsi="Times New Roman" w:cs="Times New Roman"/>
                <w:b/>
                <w:sz w:val="24"/>
                <w:szCs w:val="24"/>
                <w:lang w:eastAsia="fr-FR"/>
              </w:rPr>
            </w:pPr>
            <w:hyperlink r:id="rId6" w:history="1">
              <w:r w:rsidR="007337F2" w:rsidRPr="00023B5F">
                <w:rPr>
                  <w:rStyle w:val="Lienhypertexte"/>
                  <w:rFonts w:ascii="Times New Roman" w:eastAsia="Times New Roman" w:hAnsi="Times New Roman" w:cs="Times New Roman"/>
                  <w:b/>
                  <w:sz w:val="24"/>
                  <w:szCs w:val="24"/>
                  <w:lang w:eastAsia="fr-FR"/>
                </w:rPr>
                <w:t>http://dessinemoileco.com/quantitative-easing/</w:t>
              </w:r>
            </w:hyperlink>
          </w:p>
          <w:p w14:paraId="1A03B213" w14:textId="77777777" w:rsidR="007337F2" w:rsidRDefault="007337F2" w:rsidP="00A91428">
            <w:pPr>
              <w:spacing w:before="100" w:beforeAutospacing="1" w:after="119"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Comprendre les limites des politiques monétaires non conventionnelles de la BCE:</w:t>
            </w:r>
          </w:p>
          <w:p w14:paraId="1AD3375B" w14:textId="77777777" w:rsidR="007337F2" w:rsidRPr="00617E61" w:rsidRDefault="00D9529B" w:rsidP="00A91428">
            <w:pPr>
              <w:spacing w:before="100" w:beforeAutospacing="1" w:after="119" w:line="240" w:lineRule="auto"/>
              <w:rPr>
                <w:rFonts w:ascii="Times New Roman" w:eastAsia="Times New Roman" w:hAnsi="Times New Roman" w:cs="Times New Roman"/>
                <w:b/>
                <w:sz w:val="24"/>
                <w:szCs w:val="24"/>
                <w:lang w:eastAsia="fr-FR"/>
              </w:rPr>
            </w:pPr>
            <w:hyperlink r:id="rId7" w:history="1">
              <w:r w:rsidR="007337F2" w:rsidRPr="00023B5F">
                <w:rPr>
                  <w:rStyle w:val="Lienhypertexte"/>
                  <w:rFonts w:ascii="Times New Roman" w:eastAsia="Times New Roman" w:hAnsi="Times New Roman" w:cs="Times New Roman"/>
                  <w:b/>
                  <w:sz w:val="24"/>
                  <w:szCs w:val="24"/>
                  <w:lang w:eastAsia="fr-FR"/>
                </w:rPr>
                <w:t>http://www.lafinancepourtous.com/Actualites/La-BCE-renforce-sa-politique-d-assouplissement-monetaire</w:t>
              </w:r>
            </w:hyperlink>
          </w:p>
        </w:tc>
      </w:tr>
      <w:tr w:rsidR="007337F2" w:rsidRPr="00617E61" w14:paraId="3314E9CD" w14:textId="77777777" w:rsidTr="007337F2">
        <w:trPr>
          <w:trHeight w:val="2713"/>
          <w:tblCellSpacing w:w="0" w:type="dxa"/>
        </w:trPr>
        <w:tc>
          <w:tcPr>
            <w:tcW w:w="9300" w:type="dxa"/>
            <w:gridSpan w:val="2"/>
            <w:tcBorders>
              <w:top w:val="outset" w:sz="6" w:space="0" w:color="000000"/>
              <w:left w:val="outset" w:sz="6" w:space="0" w:color="000000"/>
              <w:right w:val="outset" w:sz="6" w:space="0" w:color="000000"/>
            </w:tcBorders>
            <w:hideMark/>
          </w:tcPr>
          <w:p w14:paraId="65C23C9C"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r w:rsidRPr="00617E61">
              <w:rPr>
                <w:rFonts w:ascii="Times New Roman" w:eastAsia="Times New Roman" w:hAnsi="Times New Roman" w:cs="Times New Roman"/>
                <w:b/>
                <w:bCs/>
                <w:sz w:val="24"/>
                <w:szCs w:val="24"/>
                <w:lang w:eastAsia="fr-FR"/>
              </w:rPr>
              <w:t>Auteurs</w:t>
            </w: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bCs/>
                <w:sz w:val="24"/>
                <w:szCs w:val="24"/>
                <w:lang w:eastAsia="fr-FR"/>
              </w:rPr>
              <w:t xml:space="preserve">Cavalieri - Lycée Jean </w:t>
            </w:r>
            <w:proofErr w:type="spellStart"/>
            <w:r w:rsidRPr="00617E61">
              <w:rPr>
                <w:rFonts w:ascii="Times New Roman" w:eastAsia="Times New Roman" w:hAnsi="Times New Roman" w:cs="Times New Roman"/>
                <w:b/>
                <w:bCs/>
                <w:sz w:val="24"/>
                <w:szCs w:val="24"/>
                <w:lang w:eastAsia="fr-FR"/>
              </w:rPr>
              <w:t>Hinglo</w:t>
            </w:r>
            <w:proofErr w:type="spellEnd"/>
            <w:r w:rsidRPr="00617E61">
              <w:rPr>
                <w:rFonts w:ascii="Times New Roman" w:eastAsia="Times New Roman" w:hAnsi="Times New Roman" w:cs="Times New Roman"/>
                <w:b/>
                <w:bCs/>
                <w:sz w:val="24"/>
                <w:szCs w:val="24"/>
                <w:lang w:eastAsia="fr-FR"/>
              </w:rPr>
              <w:t>. Le port</w:t>
            </w:r>
          </w:p>
          <w:p w14:paraId="679C2621" w14:textId="77777777" w:rsidR="007337F2" w:rsidRDefault="007337F2" w:rsidP="00A91428">
            <w:pPr>
              <w:spacing w:before="100" w:beforeAutospacing="1" w:after="119" w:line="240" w:lineRule="auto"/>
              <w:rPr>
                <w:rFonts w:ascii="Times New Roman" w:eastAsia="Times New Roman" w:hAnsi="Times New Roman" w:cs="Times New Roman"/>
                <w:b/>
                <w:bCs/>
                <w:sz w:val="24"/>
                <w:szCs w:val="24"/>
                <w:lang w:eastAsia="fr-FR"/>
              </w:rPr>
            </w:pPr>
          </w:p>
          <w:p w14:paraId="6C6FAAAF" w14:textId="77777777" w:rsidR="007337F2" w:rsidRDefault="007337F2" w:rsidP="00A91428">
            <w:pPr>
              <w:spacing w:before="100" w:beforeAutospacing="1" w:after="119" w:line="240" w:lineRule="auto"/>
              <w:rPr>
                <w:rFonts w:ascii="Times New Roman" w:eastAsia="Times New Roman" w:hAnsi="Times New Roman" w:cs="Times New Roman"/>
                <w:b/>
                <w:bCs/>
                <w:sz w:val="24"/>
                <w:szCs w:val="24"/>
                <w:lang w:eastAsia="fr-FR"/>
              </w:rPr>
            </w:pPr>
          </w:p>
          <w:p w14:paraId="12F3EE98" w14:textId="77777777" w:rsidR="007337F2" w:rsidRPr="00617E61" w:rsidRDefault="007337F2" w:rsidP="00A91428">
            <w:pPr>
              <w:spacing w:before="100" w:beforeAutospacing="1" w:after="119" w:line="240" w:lineRule="auto"/>
              <w:rPr>
                <w:rFonts w:ascii="Times New Roman" w:eastAsia="Times New Roman" w:hAnsi="Times New Roman" w:cs="Times New Roman"/>
                <w:b/>
                <w:sz w:val="24"/>
                <w:szCs w:val="24"/>
                <w:lang w:eastAsia="fr-FR"/>
              </w:rPr>
            </w:pPr>
          </w:p>
        </w:tc>
      </w:tr>
    </w:tbl>
    <w:p w14:paraId="445A3A3C" w14:textId="77777777" w:rsidR="00B30E05" w:rsidRPr="0035483A" w:rsidRDefault="00B30E05" w:rsidP="007337F2">
      <w:pPr>
        <w:shd w:val="clear" w:color="auto" w:fill="FBD4B4" w:themeFill="accent6" w:themeFillTint="66"/>
        <w:rPr>
          <w:rFonts w:ascii="Times New Roman" w:eastAsia="Times New Roman" w:hAnsi="Times New Roman" w:cs="Times New Roman"/>
          <w:b/>
          <w:bCs/>
          <w:sz w:val="24"/>
          <w:szCs w:val="24"/>
          <w:lang w:eastAsia="fr-FR"/>
        </w:rPr>
      </w:pPr>
      <w:r w:rsidRPr="0035483A">
        <w:rPr>
          <w:rFonts w:ascii="Times New Roman" w:eastAsia="Times New Roman" w:hAnsi="Times New Roman" w:cs="Times New Roman"/>
          <w:b/>
          <w:bCs/>
          <w:sz w:val="24"/>
          <w:szCs w:val="24"/>
          <w:lang w:eastAsia="fr-FR"/>
        </w:rPr>
        <w:lastRenderedPageBreak/>
        <w:t>Les enjeux et limites des politiques monétaires non conventionnelles de la BCE.</w:t>
      </w:r>
    </w:p>
    <w:p w14:paraId="5478E4B1" w14:textId="77777777" w:rsidR="00482981" w:rsidRPr="0035483A" w:rsidRDefault="00482981" w:rsidP="00B30E05">
      <w:pPr>
        <w:shd w:val="clear" w:color="auto" w:fill="FBD4B4" w:themeFill="accent6" w:themeFillTint="66"/>
        <w:rPr>
          <w:rFonts w:ascii="Times New Roman" w:eastAsia="Times New Roman" w:hAnsi="Times New Roman" w:cs="Times New Roman"/>
          <w:b/>
          <w:bCs/>
          <w:i/>
          <w:sz w:val="24"/>
          <w:szCs w:val="24"/>
          <w:lang w:eastAsia="fr-FR"/>
        </w:rPr>
      </w:pPr>
      <w:r w:rsidRPr="0035483A">
        <w:rPr>
          <w:rFonts w:ascii="Times New Roman" w:eastAsia="Times New Roman" w:hAnsi="Times New Roman" w:cs="Times New Roman"/>
          <w:b/>
          <w:bCs/>
          <w:i/>
          <w:sz w:val="24"/>
          <w:szCs w:val="24"/>
          <w:lang w:eastAsia="fr-FR"/>
        </w:rPr>
        <w:t>Préparation de la séance : 1heure de travail personnel.</w:t>
      </w:r>
    </w:p>
    <w:p w14:paraId="3CEA2C6C" w14:textId="77777777" w:rsidR="00033F6C" w:rsidRPr="0035483A" w:rsidRDefault="00B30E05" w:rsidP="00B30E05">
      <w:pPr>
        <w:shd w:val="clear" w:color="auto" w:fill="FBD4B4" w:themeFill="accent6" w:themeFillTint="66"/>
        <w:rPr>
          <w:rFonts w:ascii="Times New Roman" w:eastAsia="Times New Roman" w:hAnsi="Times New Roman" w:cs="Times New Roman"/>
          <w:b/>
          <w:bCs/>
          <w:i/>
          <w:sz w:val="24"/>
          <w:szCs w:val="24"/>
          <w:lang w:eastAsia="fr-FR"/>
        </w:rPr>
      </w:pPr>
      <w:r w:rsidRPr="0035483A">
        <w:rPr>
          <w:rFonts w:ascii="Times New Roman" w:eastAsia="Times New Roman" w:hAnsi="Times New Roman" w:cs="Times New Roman"/>
          <w:b/>
          <w:bCs/>
          <w:i/>
          <w:sz w:val="24"/>
          <w:szCs w:val="24"/>
          <w:lang w:eastAsia="fr-FR"/>
        </w:rPr>
        <w:t xml:space="preserve">En amont de la séance, vous devez visionner </w:t>
      </w:r>
      <w:r w:rsidR="00033F6C" w:rsidRPr="0035483A">
        <w:rPr>
          <w:rFonts w:ascii="Times New Roman" w:eastAsia="Times New Roman" w:hAnsi="Times New Roman" w:cs="Times New Roman"/>
          <w:b/>
          <w:bCs/>
          <w:i/>
          <w:sz w:val="24"/>
          <w:szCs w:val="24"/>
          <w:lang w:eastAsia="fr-FR"/>
        </w:rPr>
        <w:t>le document PDF en annexe</w:t>
      </w:r>
      <w:r w:rsidR="00482981" w:rsidRPr="0035483A">
        <w:rPr>
          <w:rFonts w:ascii="Times New Roman" w:eastAsia="Times New Roman" w:hAnsi="Times New Roman" w:cs="Times New Roman"/>
          <w:b/>
          <w:bCs/>
          <w:i/>
          <w:sz w:val="24"/>
          <w:szCs w:val="24"/>
          <w:lang w:eastAsia="fr-FR"/>
        </w:rPr>
        <w:t xml:space="preserve">, </w:t>
      </w:r>
      <w:r w:rsidR="00033F6C" w:rsidRPr="0035483A">
        <w:rPr>
          <w:rFonts w:ascii="Times New Roman" w:eastAsia="Times New Roman" w:hAnsi="Times New Roman" w:cs="Times New Roman"/>
          <w:b/>
          <w:bCs/>
          <w:i/>
          <w:sz w:val="24"/>
          <w:szCs w:val="24"/>
          <w:lang w:eastAsia="fr-FR"/>
        </w:rPr>
        <w:t xml:space="preserve">ou le télécharger sur le site suivant : </w:t>
      </w:r>
      <w:hyperlink r:id="rId8" w:history="1">
        <w:r w:rsidR="00033F6C" w:rsidRPr="0035483A">
          <w:rPr>
            <w:rStyle w:val="Lienhypertexte"/>
            <w:rFonts w:ascii="Times New Roman" w:eastAsia="Times New Roman" w:hAnsi="Times New Roman" w:cs="Times New Roman"/>
            <w:b/>
            <w:bCs/>
            <w:i/>
            <w:sz w:val="24"/>
            <w:szCs w:val="24"/>
            <w:lang w:eastAsia="fr-FR"/>
          </w:rPr>
          <w:t>http://www.lafinancepourtous.com/Actualites/La-BCE-renforce-sa-politique-d-assouplissement-monetaire</w:t>
        </w:r>
      </w:hyperlink>
    </w:p>
    <w:p w14:paraId="7EB70811" w14:textId="77777777" w:rsidR="00B30E05" w:rsidRPr="0035483A" w:rsidRDefault="00033F6C" w:rsidP="00B30E05">
      <w:pPr>
        <w:shd w:val="clear" w:color="auto" w:fill="FBD4B4" w:themeFill="accent6" w:themeFillTint="66"/>
        <w:rPr>
          <w:rFonts w:ascii="Times New Roman" w:eastAsia="Times New Roman" w:hAnsi="Times New Roman" w:cs="Times New Roman"/>
          <w:b/>
          <w:bCs/>
          <w:i/>
          <w:sz w:val="24"/>
          <w:szCs w:val="24"/>
          <w:lang w:eastAsia="fr-FR"/>
        </w:rPr>
      </w:pPr>
      <w:r w:rsidRPr="0035483A">
        <w:rPr>
          <w:rFonts w:ascii="Times New Roman" w:eastAsia="Times New Roman" w:hAnsi="Times New Roman" w:cs="Times New Roman"/>
          <w:b/>
          <w:bCs/>
          <w:i/>
          <w:sz w:val="24"/>
          <w:szCs w:val="24"/>
          <w:lang w:eastAsia="fr-FR"/>
        </w:rPr>
        <w:t>Ensuite, vous devez</w:t>
      </w:r>
      <w:r w:rsidR="00B30E05" w:rsidRPr="0035483A">
        <w:rPr>
          <w:rFonts w:ascii="Times New Roman" w:eastAsia="Times New Roman" w:hAnsi="Times New Roman" w:cs="Times New Roman"/>
          <w:b/>
          <w:bCs/>
          <w:i/>
          <w:sz w:val="24"/>
          <w:szCs w:val="24"/>
          <w:lang w:eastAsia="fr-FR"/>
        </w:rPr>
        <w:t xml:space="preserve"> répondre aux questions suivantes.</w:t>
      </w:r>
    </w:p>
    <w:p w14:paraId="4EBD7667" w14:textId="77777777" w:rsidR="00B30E05" w:rsidRPr="0035483A" w:rsidRDefault="00B30E05" w:rsidP="00B30E05">
      <w:pPr>
        <w:pStyle w:val="Paragraphedeliste"/>
        <w:numPr>
          <w:ilvl w:val="0"/>
          <w:numId w:val="1"/>
        </w:numPr>
        <w:shd w:val="clear" w:color="auto" w:fill="FBD4B4" w:themeFill="accent6" w:themeFillTint="66"/>
        <w:rPr>
          <w:rFonts w:ascii="Times New Roman" w:eastAsia="Times New Roman" w:hAnsi="Times New Roman" w:cs="Times New Roman"/>
          <w:bCs/>
          <w:sz w:val="24"/>
          <w:szCs w:val="24"/>
          <w:lang w:eastAsia="fr-FR"/>
        </w:rPr>
      </w:pPr>
      <w:r w:rsidRPr="0035483A">
        <w:rPr>
          <w:rFonts w:ascii="Times New Roman" w:eastAsia="Times New Roman" w:hAnsi="Times New Roman" w:cs="Times New Roman"/>
          <w:bCs/>
          <w:sz w:val="24"/>
          <w:szCs w:val="24"/>
          <w:lang w:eastAsia="fr-FR"/>
        </w:rPr>
        <w:t>Quels sont les objectifs économiques et monétaires traditionnels de la BCE ?</w:t>
      </w:r>
    </w:p>
    <w:p w14:paraId="55741B91" w14:textId="77777777" w:rsidR="00B30E05" w:rsidRPr="0035483A" w:rsidRDefault="00B30E05" w:rsidP="00B30E05">
      <w:pPr>
        <w:pStyle w:val="Paragraphedeliste"/>
        <w:numPr>
          <w:ilvl w:val="0"/>
          <w:numId w:val="1"/>
        </w:numPr>
        <w:shd w:val="clear" w:color="auto" w:fill="FBD4B4" w:themeFill="accent6" w:themeFillTint="66"/>
        <w:rPr>
          <w:rFonts w:ascii="Times New Roman" w:eastAsia="Times New Roman" w:hAnsi="Times New Roman" w:cs="Times New Roman"/>
          <w:bCs/>
          <w:sz w:val="24"/>
          <w:szCs w:val="24"/>
          <w:lang w:eastAsia="fr-FR"/>
        </w:rPr>
      </w:pPr>
      <w:r w:rsidRPr="0035483A">
        <w:rPr>
          <w:rFonts w:ascii="Times New Roman" w:eastAsia="Times New Roman" w:hAnsi="Times New Roman" w:cs="Times New Roman"/>
          <w:bCs/>
          <w:sz w:val="24"/>
          <w:szCs w:val="24"/>
          <w:lang w:eastAsia="fr-FR"/>
        </w:rPr>
        <w:t>Pourquoi la BCE cherche- t-elle à atteindre une inflation de 2%</w:t>
      </w:r>
      <w:r w:rsidR="00482981" w:rsidRPr="0035483A">
        <w:rPr>
          <w:rFonts w:ascii="Times New Roman" w:eastAsia="Times New Roman" w:hAnsi="Times New Roman" w:cs="Times New Roman"/>
          <w:bCs/>
          <w:sz w:val="24"/>
          <w:szCs w:val="24"/>
          <w:lang w:eastAsia="fr-FR"/>
        </w:rPr>
        <w:t xml:space="preserve"> dans la zone euro ?</w:t>
      </w:r>
    </w:p>
    <w:p w14:paraId="625274D2" w14:textId="77777777" w:rsidR="00B30E05" w:rsidRPr="0035483A" w:rsidRDefault="00482981" w:rsidP="00B30E05">
      <w:pPr>
        <w:pStyle w:val="Paragraphedeliste"/>
        <w:numPr>
          <w:ilvl w:val="0"/>
          <w:numId w:val="1"/>
        </w:numPr>
        <w:shd w:val="clear" w:color="auto" w:fill="FBD4B4" w:themeFill="accent6" w:themeFillTint="66"/>
        <w:rPr>
          <w:rFonts w:ascii="Times New Roman" w:eastAsia="Times New Roman" w:hAnsi="Times New Roman" w:cs="Times New Roman"/>
          <w:bCs/>
          <w:sz w:val="24"/>
          <w:szCs w:val="24"/>
          <w:lang w:eastAsia="fr-FR"/>
        </w:rPr>
      </w:pPr>
      <w:r w:rsidRPr="0035483A">
        <w:rPr>
          <w:rFonts w:ascii="Times New Roman" w:eastAsia="Times New Roman" w:hAnsi="Times New Roman" w:cs="Times New Roman"/>
          <w:bCs/>
          <w:sz w:val="24"/>
          <w:szCs w:val="24"/>
          <w:lang w:eastAsia="fr-FR"/>
        </w:rPr>
        <w:t>Quels instruments traditionnels utilise-t-elle pour mener sa politique monétaire ?</w:t>
      </w:r>
    </w:p>
    <w:p w14:paraId="105892C1" w14:textId="77777777" w:rsidR="00482981" w:rsidRPr="0035483A" w:rsidRDefault="00482981" w:rsidP="00B30E05">
      <w:pPr>
        <w:pStyle w:val="Paragraphedeliste"/>
        <w:numPr>
          <w:ilvl w:val="0"/>
          <w:numId w:val="1"/>
        </w:numPr>
        <w:shd w:val="clear" w:color="auto" w:fill="FBD4B4" w:themeFill="accent6" w:themeFillTint="66"/>
        <w:rPr>
          <w:rFonts w:ascii="Times New Roman" w:eastAsia="Times New Roman" w:hAnsi="Times New Roman" w:cs="Times New Roman"/>
          <w:bCs/>
          <w:sz w:val="24"/>
          <w:szCs w:val="24"/>
          <w:lang w:eastAsia="fr-FR"/>
        </w:rPr>
      </w:pPr>
      <w:r w:rsidRPr="0035483A">
        <w:rPr>
          <w:rFonts w:ascii="Times New Roman" w:eastAsia="Times New Roman" w:hAnsi="Times New Roman" w:cs="Times New Roman"/>
          <w:bCs/>
          <w:sz w:val="24"/>
          <w:szCs w:val="24"/>
          <w:lang w:eastAsia="fr-FR"/>
        </w:rPr>
        <w:t>Considère- t-on qu’elle a atteint ses objectifs ?</w:t>
      </w:r>
    </w:p>
    <w:p w14:paraId="3102B042" w14:textId="77777777" w:rsidR="00033F6C" w:rsidRPr="0035483A" w:rsidRDefault="00033F6C" w:rsidP="00033F6C">
      <w:pPr>
        <w:shd w:val="clear" w:color="auto" w:fill="FBD4B4" w:themeFill="accent6" w:themeFillTint="66"/>
        <w:jc w:val="center"/>
        <w:rPr>
          <w:rFonts w:ascii="Times New Roman" w:hAnsi="Times New Roman" w:cs="Times New Roman"/>
          <w:b/>
          <w:sz w:val="24"/>
          <w:szCs w:val="24"/>
        </w:rPr>
      </w:pPr>
      <w:r w:rsidRPr="0035483A">
        <w:rPr>
          <w:rFonts w:ascii="Times New Roman" w:hAnsi="Times New Roman" w:cs="Times New Roman"/>
          <w:b/>
          <w:sz w:val="24"/>
          <w:szCs w:val="24"/>
        </w:rPr>
        <w:t>Séance de travail</w:t>
      </w:r>
      <w:r w:rsidRPr="0035483A">
        <w:rPr>
          <w:rFonts w:ascii="Times New Roman" w:eastAsia="Times New Roman" w:hAnsi="Times New Roman" w:cs="Times New Roman"/>
          <w:b/>
          <w:bCs/>
          <w:i/>
          <w:sz w:val="24"/>
          <w:szCs w:val="24"/>
          <w:lang w:eastAsia="fr-FR"/>
        </w:rPr>
        <w:t>: 1heure de travail personnel.</w:t>
      </w:r>
    </w:p>
    <w:p w14:paraId="4F30AC04" w14:textId="77777777" w:rsidR="00B30E05" w:rsidRPr="0035483A" w:rsidRDefault="00033F6C" w:rsidP="00DA3F06">
      <w:pPr>
        <w:pBdr>
          <w:top w:val="single" w:sz="4" w:space="1" w:color="auto"/>
          <w:left w:val="single" w:sz="4" w:space="4" w:color="auto"/>
          <w:bottom w:val="single" w:sz="4" w:space="1" w:color="auto"/>
          <w:right w:val="single" w:sz="4" w:space="4" w:color="auto"/>
        </w:pBdr>
        <w:spacing w:before="100" w:beforeAutospacing="1" w:after="119" w:line="240" w:lineRule="auto"/>
        <w:rPr>
          <w:rFonts w:ascii="Times New Roman" w:hAnsi="Times New Roman" w:cs="Times New Roman"/>
          <w:sz w:val="24"/>
          <w:szCs w:val="24"/>
        </w:rPr>
      </w:pPr>
      <w:r w:rsidRPr="0035483A">
        <w:rPr>
          <w:rFonts w:ascii="Times New Roman" w:eastAsia="Times New Roman" w:hAnsi="Times New Roman" w:cs="Times New Roman"/>
          <w:b/>
          <w:sz w:val="24"/>
          <w:szCs w:val="24"/>
          <w:lang w:eastAsia="fr-FR"/>
        </w:rPr>
        <w:t xml:space="preserve">Partie 1 : </w:t>
      </w:r>
      <w:r w:rsidR="00B30E05" w:rsidRPr="0035483A">
        <w:rPr>
          <w:rFonts w:ascii="Times New Roman" w:eastAsia="Times New Roman" w:hAnsi="Times New Roman" w:cs="Times New Roman"/>
          <w:b/>
          <w:sz w:val="24"/>
          <w:szCs w:val="24"/>
          <w:lang w:eastAsia="fr-FR"/>
        </w:rPr>
        <w:t>Comprendre les enjeux des politiques monétaires non conventionnelles de la BCE:</w:t>
      </w:r>
      <w:r w:rsidR="00B30E05" w:rsidRPr="0035483A">
        <w:rPr>
          <w:rFonts w:ascii="Times New Roman" w:hAnsi="Times New Roman" w:cs="Times New Roman"/>
          <w:sz w:val="24"/>
          <w:szCs w:val="24"/>
        </w:rPr>
        <w:t xml:space="preserve"> </w:t>
      </w:r>
    </w:p>
    <w:p w14:paraId="1943FFB4" w14:textId="77777777" w:rsidR="00033F6C" w:rsidRPr="0035483A" w:rsidRDefault="00033F6C" w:rsidP="00033F6C">
      <w:pPr>
        <w:pStyle w:val="Paragraphedeliste"/>
        <w:numPr>
          <w:ilvl w:val="0"/>
          <w:numId w:val="2"/>
        </w:numPr>
        <w:spacing w:before="100" w:beforeAutospacing="1" w:after="119" w:line="240" w:lineRule="auto"/>
        <w:rPr>
          <w:rFonts w:ascii="Times New Roman" w:hAnsi="Times New Roman" w:cs="Times New Roman"/>
          <w:b/>
          <w:sz w:val="24"/>
          <w:szCs w:val="24"/>
        </w:rPr>
      </w:pPr>
      <w:r w:rsidRPr="0035483A">
        <w:rPr>
          <w:rFonts w:ascii="Times New Roman" w:hAnsi="Times New Roman" w:cs="Times New Roman"/>
          <w:b/>
          <w:sz w:val="24"/>
          <w:szCs w:val="24"/>
        </w:rPr>
        <w:t>Visionner en cours la vidéo suivante</w:t>
      </w:r>
      <w:r w:rsidR="00950655">
        <w:rPr>
          <w:rFonts w:ascii="Times New Roman" w:hAnsi="Times New Roman" w:cs="Times New Roman"/>
          <w:b/>
          <w:sz w:val="24"/>
          <w:szCs w:val="24"/>
        </w:rPr>
        <w:t>, dont le texte est dans le document 1</w:t>
      </w:r>
      <w:proofErr w:type="gramStart"/>
      <w:r w:rsidR="00950655">
        <w:rPr>
          <w:rFonts w:ascii="Times New Roman" w:hAnsi="Times New Roman" w:cs="Times New Roman"/>
          <w:b/>
          <w:sz w:val="24"/>
          <w:szCs w:val="24"/>
        </w:rPr>
        <w:t>,ainsi</w:t>
      </w:r>
      <w:proofErr w:type="gramEnd"/>
      <w:r w:rsidR="00950655">
        <w:rPr>
          <w:rFonts w:ascii="Times New Roman" w:hAnsi="Times New Roman" w:cs="Times New Roman"/>
          <w:b/>
          <w:sz w:val="24"/>
          <w:szCs w:val="24"/>
        </w:rPr>
        <w:t xml:space="preserve"> que le schéma récapitulatif de la vidéo en document 2. </w:t>
      </w:r>
    </w:p>
    <w:p w14:paraId="60B56598" w14:textId="77777777" w:rsidR="00950655" w:rsidRDefault="00D9529B" w:rsidP="00B30E05">
      <w:pPr>
        <w:spacing w:before="100" w:beforeAutospacing="1" w:after="119" w:line="240" w:lineRule="auto"/>
        <w:rPr>
          <w:rStyle w:val="Lienhypertexte"/>
          <w:rFonts w:ascii="Times New Roman" w:eastAsia="Times New Roman" w:hAnsi="Times New Roman" w:cs="Times New Roman"/>
          <w:b/>
          <w:sz w:val="24"/>
          <w:szCs w:val="24"/>
          <w:lang w:eastAsia="fr-FR"/>
        </w:rPr>
      </w:pPr>
      <w:hyperlink r:id="rId9" w:history="1">
        <w:r w:rsidR="00B30E05" w:rsidRPr="0035483A">
          <w:rPr>
            <w:rStyle w:val="Lienhypertexte"/>
            <w:rFonts w:ascii="Times New Roman" w:eastAsia="Times New Roman" w:hAnsi="Times New Roman" w:cs="Times New Roman"/>
            <w:b/>
            <w:sz w:val="24"/>
            <w:szCs w:val="24"/>
            <w:lang w:eastAsia="fr-FR"/>
          </w:rPr>
          <w:t>http://dessinemoileco.com/quantitative-easing/</w:t>
        </w:r>
      </w:hyperlink>
    </w:p>
    <w:p w14:paraId="2A0763D1" w14:textId="77777777" w:rsidR="00950655" w:rsidRPr="00950655" w:rsidRDefault="00950655" w:rsidP="00B30E05">
      <w:pPr>
        <w:spacing w:before="100" w:beforeAutospacing="1" w:after="119" w:line="240" w:lineRule="auto"/>
        <w:rPr>
          <w:rStyle w:val="Lienhypertexte"/>
          <w:rFonts w:ascii="Times New Roman" w:eastAsia="Times New Roman" w:hAnsi="Times New Roman" w:cs="Times New Roman"/>
          <w:b/>
          <w:color w:val="auto"/>
          <w:sz w:val="24"/>
          <w:szCs w:val="24"/>
          <w:u w:val="none"/>
          <w:lang w:eastAsia="fr-FR"/>
        </w:rPr>
      </w:pPr>
      <w:r w:rsidRPr="00950655">
        <w:rPr>
          <w:rStyle w:val="Lienhypertexte"/>
          <w:rFonts w:ascii="Times New Roman" w:eastAsia="Times New Roman" w:hAnsi="Times New Roman" w:cs="Times New Roman"/>
          <w:b/>
          <w:color w:val="auto"/>
          <w:sz w:val="24"/>
          <w:szCs w:val="24"/>
          <w:u w:val="none"/>
          <w:lang w:eastAsia="fr-FR"/>
        </w:rPr>
        <w:t>L</w:t>
      </w:r>
      <w:r>
        <w:rPr>
          <w:rStyle w:val="Lienhypertexte"/>
          <w:rFonts w:ascii="Times New Roman" w:eastAsia="Times New Roman" w:hAnsi="Times New Roman" w:cs="Times New Roman"/>
          <w:b/>
          <w:color w:val="auto"/>
          <w:sz w:val="24"/>
          <w:szCs w:val="24"/>
          <w:u w:val="none"/>
          <w:lang w:eastAsia="fr-FR"/>
        </w:rPr>
        <w:t>e texte de</w:t>
      </w:r>
      <w:r w:rsidRPr="00950655">
        <w:rPr>
          <w:rFonts w:ascii="Times New Roman" w:hAnsi="Times New Roman" w:cs="Times New Roman"/>
          <w:sz w:val="24"/>
          <w:szCs w:val="24"/>
        </w:rPr>
        <w:t xml:space="preserve"> </w:t>
      </w:r>
      <w:hyperlink r:id="rId10" w:history="1">
        <w:r w:rsidRPr="00950655">
          <w:rPr>
            <w:rStyle w:val="Lienhypertexte"/>
            <w:rFonts w:ascii="Times New Roman" w:eastAsia="Times New Roman" w:hAnsi="Times New Roman" w:cs="Times New Roman"/>
            <w:b/>
            <w:bCs/>
            <w:sz w:val="24"/>
            <w:szCs w:val="24"/>
            <w:lang w:eastAsia="fr-FR"/>
          </w:rPr>
          <w:t>http://www.lafinancepourtous.com/Actualites/La-BCE-renforce-sa-politique-d-assouplissement-monetaire</w:t>
        </w:r>
      </w:hyperlink>
      <w:r>
        <w:rPr>
          <w:rFonts w:ascii="Times New Roman" w:hAnsi="Times New Roman" w:cs="Times New Roman"/>
          <w:sz w:val="24"/>
          <w:szCs w:val="24"/>
        </w:rPr>
        <w:t xml:space="preserve">  retranscrit dans le document 2 vous aidera pour répondre aux questions suivantes</w:t>
      </w:r>
    </w:p>
    <w:p w14:paraId="788D1C78" w14:textId="77777777" w:rsidR="00033F6C" w:rsidRPr="0035483A" w:rsidRDefault="006C57B5" w:rsidP="00033F6C">
      <w:pPr>
        <w:pStyle w:val="Paragraphedeliste"/>
        <w:numPr>
          <w:ilvl w:val="0"/>
          <w:numId w:val="2"/>
        </w:numPr>
        <w:spacing w:before="100" w:beforeAutospacing="1" w:after="119"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Donnez une définition simple du</w:t>
      </w:r>
      <w:r w:rsidR="00033F6C" w:rsidRPr="0035483A">
        <w:rPr>
          <w:rFonts w:ascii="Times New Roman" w:eastAsia="Times New Roman" w:hAnsi="Times New Roman" w:cs="Times New Roman"/>
          <w:b/>
          <w:sz w:val="24"/>
          <w:szCs w:val="24"/>
          <w:lang w:eastAsia="fr-FR"/>
        </w:rPr>
        <w:t xml:space="preserve"> quantitative-</w:t>
      </w:r>
      <w:proofErr w:type="spellStart"/>
      <w:r w:rsidR="00033F6C" w:rsidRPr="0035483A">
        <w:rPr>
          <w:rFonts w:ascii="Times New Roman" w:eastAsia="Times New Roman" w:hAnsi="Times New Roman" w:cs="Times New Roman"/>
          <w:b/>
          <w:sz w:val="24"/>
          <w:szCs w:val="24"/>
          <w:lang w:eastAsia="fr-FR"/>
        </w:rPr>
        <w:t>easing</w:t>
      </w:r>
      <w:proofErr w:type="spellEnd"/>
      <w:r w:rsidR="00033F6C" w:rsidRPr="0035483A">
        <w:rPr>
          <w:rFonts w:ascii="Times New Roman" w:eastAsia="Times New Roman" w:hAnsi="Times New Roman" w:cs="Times New Roman"/>
          <w:b/>
          <w:sz w:val="24"/>
          <w:szCs w:val="24"/>
          <w:lang w:eastAsia="fr-FR"/>
        </w:rPr>
        <w:t> ?</w:t>
      </w:r>
      <w:r w:rsidR="001A58FC" w:rsidRPr="0035483A">
        <w:rPr>
          <w:rFonts w:ascii="Times New Roman" w:eastAsia="Times New Roman" w:hAnsi="Times New Roman" w:cs="Times New Roman"/>
          <w:b/>
          <w:sz w:val="24"/>
          <w:szCs w:val="24"/>
          <w:lang w:eastAsia="fr-FR"/>
        </w:rPr>
        <w:t xml:space="preserve"> </w:t>
      </w:r>
    </w:p>
    <w:p w14:paraId="588A15BD" w14:textId="77777777" w:rsidR="001A58FC" w:rsidRPr="0035483A" w:rsidRDefault="001A58FC" w:rsidP="001A58FC">
      <w:pPr>
        <w:pStyle w:val="Paragraphedeliste"/>
        <w:spacing w:before="100" w:beforeAutospacing="1" w:after="119" w:line="240" w:lineRule="auto"/>
        <w:rPr>
          <w:rFonts w:ascii="Times New Roman" w:eastAsia="Times New Roman" w:hAnsi="Times New Roman" w:cs="Times New Roman"/>
          <w:b/>
          <w:sz w:val="24"/>
          <w:szCs w:val="24"/>
          <w:lang w:eastAsia="fr-FR"/>
        </w:rPr>
      </w:pPr>
      <w:r w:rsidRPr="0035483A">
        <w:rPr>
          <w:rFonts w:ascii="Times New Roman" w:eastAsia="Times New Roman" w:hAnsi="Times New Roman" w:cs="Times New Roman"/>
          <w:b/>
          <w:sz w:val="24"/>
          <w:szCs w:val="24"/>
          <w:lang w:eastAsia="fr-FR"/>
        </w:rPr>
        <w:t>………………………………………………………………………………………………………………………………………………………………………………………………………………………………………………………………………………………………………………………………</w:t>
      </w:r>
    </w:p>
    <w:p w14:paraId="4470CE19" w14:textId="77777777" w:rsidR="00033F6C" w:rsidRPr="0035483A" w:rsidRDefault="00033F6C" w:rsidP="00033F6C">
      <w:pPr>
        <w:pStyle w:val="Paragraphedeliste"/>
        <w:numPr>
          <w:ilvl w:val="0"/>
          <w:numId w:val="2"/>
        </w:numPr>
        <w:spacing w:before="100" w:beforeAutospacing="1" w:after="119" w:line="240" w:lineRule="auto"/>
        <w:rPr>
          <w:rFonts w:ascii="Times New Roman" w:eastAsia="Times New Roman" w:hAnsi="Times New Roman" w:cs="Times New Roman"/>
          <w:b/>
          <w:sz w:val="24"/>
          <w:szCs w:val="24"/>
          <w:lang w:eastAsia="fr-FR"/>
        </w:rPr>
      </w:pPr>
      <w:r w:rsidRPr="0035483A">
        <w:rPr>
          <w:rFonts w:ascii="Times New Roman" w:eastAsia="Times New Roman" w:hAnsi="Times New Roman" w:cs="Times New Roman"/>
          <w:b/>
          <w:sz w:val="24"/>
          <w:szCs w:val="24"/>
          <w:lang w:eastAsia="fr-FR"/>
        </w:rPr>
        <w:t>Pourquoi qualifie-t-on cette stratégie de la BCE de politique monétaire non conventionnelle ?</w:t>
      </w:r>
    </w:p>
    <w:p w14:paraId="369F7823" w14:textId="77777777" w:rsidR="00DA3F06" w:rsidRPr="0035483A" w:rsidRDefault="00DA3F06" w:rsidP="00DA3F06">
      <w:pPr>
        <w:pStyle w:val="Paragraphedeliste"/>
        <w:spacing w:before="100" w:beforeAutospacing="1" w:after="119" w:line="240" w:lineRule="auto"/>
        <w:rPr>
          <w:rFonts w:ascii="Times New Roman" w:eastAsia="Times New Roman" w:hAnsi="Times New Roman" w:cs="Times New Roman"/>
          <w:b/>
          <w:sz w:val="24"/>
          <w:szCs w:val="24"/>
          <w:lang w:eastAsia="fr-FR"/>
        </w:rPr>
      </w:pPr>
      <w:r w:rsidRPr="0035483A">
        <w:rPr>
          <w:rFonts w:ascii="Times New Roman" w:eastAsia="Times New Roman" w:hAnsi="Times New Roman" w:cs="Times New Roman"/>
          <w:b/>
          <w:sz w:val="24"/>
          <w:szCs w:val="24"/>
          <w:lang w:eastAsia="fr-FR"/>
        </w:rPr>
        <w:t>………………………………………………………………………………………………………………………………………………………………………………………………………………………………………………………………………………………………………………………………</w:t>
      </w:r>
    </w:p>
    <w:p w14:paraId="1ED0B580" w14:textId="77777777" w:rsidR="00DA3F06" w:rsidRPr="0035483A" w:rsidRDefault="00DA3F06" w:rsidP="00DA3F06">
      <w:pPr>
        <w:pStyle w:val="Paragraphedeliste"/>
        <w:spacing w:before="100" w:beforeAutospacing="1" w:after="119" w:line="240" w:lineRule="auto"/>
        <w:rPr>
          <w:rFonts w:ascii="Times New Roman" w:eastAsia="Times New Roman" w:hAnsi="Times New Roman" w:cs="Times New Roman"/>
          <w:b/>
          <w:sz w:val="24"/>
          <w:szCs w:val="24"/>
          <w:lang w:eastAsia="fr-FR"/>
        </w:rPr>
      </w:pPr>
    </w:p>
    <w:p w14:paraId="47CFC0B9" w14:textId="77777777" w:rsidR="00033F6C" w:rsidRPr="0035483A" w:rsidRDefault="00033F6C" w:rsidP="00033F6C">
      <w:pPr>
        <w:pStyle w:val="Paragraphedeliste"/>
        <w:numPr>
          <w:ilvl w:val="0"/>
          <w:numId w:val="2"/>
        </w:numPr>
        <w:spacing w:before="100" w:beforeAutospacing="1" w:after="119" w:line="240" w:lineRule="auto"/>
        <w:rPr>
          <w:rFonts w:ascii="Times New Roman" w:eastAsia="Times New Roman" w:hAnsi="Times New Roman" w:cs="Times New Roman"/>
          <w:b/>
          <w:sz w:val="24"/>
          <w:szCs w:val="24"/>
          <w:lang w:eastAsia="fr-FR"/>
        </w:rPr>
      </w:pPr>
      <w:r w:rsidRPr="0035483A">
        <w:rPr>
          <w:rFonts w:ascii="Times New Roman" w:eastAsia="Times New Roman" w:hAnsi="Times New Roman" w:cs="Times New Roman"/>
          <w:b/>
          <w:sz w:val="24"/>
          <w:szCs w:val="24"/>
          <w:lang w:eastAsia="fr-FR"/>
        </w:rPr>
        <w:t>Quel est le but principal poursuivi par la BCE dans le cadre de cette politique ?</w:t>
      </w:r>
    </w:p>
    <w:p w14:paraId="08214F27" w14:textId="77777777" w:rsidR="00DA3F06" w:rsidRDefault="00DA3F06" w:rsidP="00DA3F06">
      <w:pPr>
        <w:pStyle w:val="Paragraphedeliste"/>
        <w:spacing w:before="100" w:beforeAutospacing="1" w:after="119" w:line="240" w:lineRule="auto"/>
        <w:rPr>
          <w:rFonts w:ascii="Times New Roman" w:eastAsia="Times New Roman" w:hAnsi="Times New Roman" w:cs="Times New Roman"/>
          <w:b/>
          <w:sz w:val="24"/>
          <w:szCs w:val="24"/>
          <w:lang w:eastAsia="fr-FR"/>
        </w:rPr>
      </w:pPr>
      <w:r w:rsidRPr="0035483A">
        <w:rPr>
          <w:rFonts w:ascii="Times New Roman" w:eastAsia="Times New Roman" w:hAnsi="Times New Roman" w:cs="Times New Roman"/>
          <w:b/>
          <w:sz w:val="24"/>
          <w:szCs w:val="24"/>
          <w:lang w:eastAsia="fr-FR"/>
        </w:rPr>
        <w:t>………………………………………………………………………………………………………………………………………………………………………………………………………………………………………………………………………………………………………………………………</w:t>
      </w:r>
    </w:p>
    <w:p w14:paraId="00E64BC3" w14:textId="77777777" w:rsidR="006C57B5" w:rsidRDefault="006C57B5" w:rsidP="006C57B5">
      <w:pPr>
        <w:pStyle w:val="Paragraphedeliste"/>
        <w:numPr>
          <w:ilvl w:val="0"/>
          <w:numId w:val="2"/>
        </w:numPr>
        <w:spacing w:before="100" w:beforeAutospacing="1" w:after="119"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Remplissez le schéma suivant en vous servant de ces trois étiquettes :</w:t>
      </w:r>
    </w:p>
    <w:p w14:paraId="1DF51AFC" w14:textId="77777777" w:rsidR="006C57B5" w:rsidRDefault="006C57B5" w:rsidP="006C57B5">
      <w:pPr>
        <w:pStyle w:val="Paragraphedeliste"/>
        <w:spacing w:before="100" w:beforeAutospacing="1" w:after="119" w:line="240" w:lineRule="auto"/>
        <w:rPr>
          <w:rFonts w:ascii="Times New Roman" w:hAnsi="Times New Roman" w:cs="Times New Roman"/>
          <w:b/>
          <w:bCs/>
          <w:color w:val="9A9A9A"/>
          <w:sz w:val="24"/>
          <w:szCs w:val="24"/>
        </w:rPr>
      </w:pPr>
    </w:p>
    <w:p w14:paraId="5F18F04A" w14:textId="77777777" w:rsidR="006C57B5" w:rsidRDefault="006C57B5" w:rsidP="006C57B5">
      <w:pPr>
        <w:pStyle w:val="Paragraphedeliste"/>
        <w:spacing w:before="100" w:beforeAutospacing="1" w:after="119" w:line="240" w:lineRule="auto"/>
        <w:rPr>
          <w:rFonts w:ascii="Times New Roman" w:hAnsi="Times New Roman" w:cs="Times New Roman"/>
          <w:b/>
          <w:bCs/>
          <w:color w:val="9A9A9A"/>
          <w:sz w:val="24"/>
          <w:szCs w:val="24"/>
        </w:rPr>
      </w:pPr>
      <w:r>
        <w:rPr>
          <w:rFonts w:ascii="Times New Roman" w:hAnsi="Times New Roman" w:cs="Times New Roman"/>
          <w:b/>
          <w:bCs/>
          <w:color w:val="9A9A9A"/>
          <w:sz w:val="24"/>
          <w:szCs w:val="24"/>
        </w:rPr>
        <w:t>B</w:t>
      </w:r>
      <w:r w:rsidRPr="0035483A">
        <w:rPr>
          <w:rFonts w:ascii="Times New Roman" w:hAnsi="Times New Roman" w:cs="Times New Roman"/>
          <w:b/>
          <w:bCs/>
          <w:color w:val="9A9A9A"/>
          <w:sz w:val="24"/>
          <w:szCs w:val="24"/>
        </w:rPr>
        <w:t>aisse des taux directeurs</w:t>
      </w:r>
    </w:p>
    <w:p w14:paraId="5AC73BCF" w14:textId="77777777" w:rsidR="006C57B5" w:rsidRDefault="006C57B5" w:rsidP="006C57B5">
      <w:pPr>
        <w:pStyle w:val="Paragraphedeliste"/>
        <w:spacing w:before="100" w:beforeAutospacing="1" w:after="119" w:line="240" w:lineRule="auto"/>
        <w:rPr>
          <w:rFonts w:ascii="Times New Roman" w:hAnsi="Times New Roman" w:cs="Times New Roman"/>
          <w:b/>
          <w:bCs/>
          <w:color w:val="9A9A9A"/>
          <w:sz w:val="24"/>
          <w:szCs w:val="24"/>
        </w:rPr>
      </w:pPr>
    </w:p>
    <w:p w14:paraId="284E4C2B" w14:textId="77777777" w:rsidR="006C57B5" w:rsidRDefault="006C57B5" w:rsidP="006C57B5">
      <w:pPr>
        <w:pStyle w:val="Paragraphedeliste"/>
        <w:spacing w:before="100" w:beforeAutospacing="1" w:after="119" w:line="240" w:lineRule="auto"/>
        <w:rPr>
          <w:rFonts w:ascii="Times New Roman" w:hAnsi="Times New Roman" w:cs="Times New Roman"/>
          <w:b/>
          <w:bCs/>
          <w:color w:val="9A9A9A"/>
          <w:sz w:val="24"/>
          <w:szCs w:val="24"/>
        </w:rPr>
      </w:pPr>
      <w:r>
        <w:rPr>
          <w:rFonts w:ascii="Times New Roman" w:hAnsi="Times New Roman" w:cs="Times New Roman"/>
          <w:b/>
          <w:bCs/>
          <w:color w:val="9A9A9A"/>
          <w:sz w:val="24"/>
          <w:szCs w:val="24"/>
        </w:rPr>
        <w:t>P</w:t>
      </w:r>
      <w:r w:rsidRPr="0035483A">
        <w:rPr>
          <w:rFonts w:ascii="Times New Roman" w:hAnsi="Times New Roman" w:cs="Times New Roman"/>
          <w:b/>
          <w:bCs/>
          <w:color w:val="9A9A9A"/>
          <w:sz w:val="24"/>
          <w:szCs w:val="24"/>
        </w:rPr>
        <w:t>rogramme TLTRO</w:t>
      </w:r>
      <w:r w:rsidRPr="006C57B5">
        <w:rPr>
          <w:rFonts w:ascii="Times New Roman" w:hAnsi="Times New Roman" w:cs="Times New Roman"/>
          <w:b/>
          <w:bCs/>
          <w:color w:val="9A9A9A"/>
          <w:sz w:val="24"/>
          <w:szCs w:val="24"/>
        </w:rPr>
        <w:t xml:space="preserve"> </w:t>
      </w:r>
    </w:p>
    <w:p w14:paraId="5ECCCA89" w14:textId="77777777" w:rsidR="006C57B5" w:rsidRDefault="006C57B5" w:rsidP="006C57B5">
      <w:pPr>
        <w:pStyle w:val="Paragraphedeliste"/>
        <w:spacing w:before="100" w:beforeAutospacing="1" w:after="119" w:line="240" w:lineRule="auto"/>
        <w:rPr>
          <w:rFonts w:ascii="Times New Roman" w:hAnsi="Times New Roman" w:cs="Times New Roman"/>
          <w:b/>
          <w:bCs/>
          <w:color w:val="9A9A9A"/>
          <w:sz w:val="24"/>
          <w:szCs w:val="24"/>
        </w:rPr>
      </w:pPr>
    </w:p>
    <w:p w14:paraId="7182DD75" w14:textId="77777777" w:rsidR="006C57B5" w:rsidRDefault="006C57B5" w:rsidP="006C57B5">
      <w:pPr>
        <w:pStyle w:val="Paragraphedeliste"/>
        <w:spacing w:before="100" w:beforeAutospacing="1" w:after="119" w:line="240" w:lineRule="auto"/>
        <w:rPr>
          <w:rFonts w:ascii="Times New Roman" w:eastAsia="Times New Roman" w:hAnsi="Times New Roman" w:cs="Times New Roman"/>
          <w:b/>
          <w:sz w:val="24"/>
          <w:szCs w:val="24"/>
          <w:lang w:eastAsia="fr-FR"/>
        </w:rPr>
      </w:pPr>
      <w:r>
        <w:rPr>
          <w:rFonts w:ascii="Times New Roman" w:hAnsi="Times New Roman" w:cs="Times New Roman"/>
          <w:b/>
          <w:bCs/>
          <w:color w:val="9A9A9A"/>
          <w:sz w:val="24"/>
          <w:szCs w:val="24"/>
        </w:rPr>
        <w:t>Programme de rachats d’actifs financiers</w:t>
      </w:r>
    </w:p>
    <w:p w14:paraId="4476BCBA" w14:textId="77777777" w:rsidR="006C57B5" w:rsidRPr="006C57B5" w:rsidRDefault="006C57B5" w:rsidP="006C57B5">
      <w:pPr>
        <w:spacing w:before="100" w:beforeAutospacing="1" w:after="119" w:line="240" w:lineRule="auto"/>
        <w:ind w:left="360"/>
        <w:rPr>
          <w:rFonts w:ascii="Times New Roman" w:eastAsia="Times New Roman" w:hAnsi="Times New Roman" w:cs="Times New Roman"/>
          <w:b/>
          <w:sz w:val="24"/>
          <w:szCs w:val="24"/>
          <w:lang w:eastAsia="fr-FR"/>
        </w:rPr>
      </w:pPr>
      <w:r>
        <w:rPr>
          <w:rFonts w:ascii="Times New Roman" w:eastAsia="Times New Roman" w:hAnsi="Times New Roman" w:cs="Times New Roman"/>
          <w:b/>
          <w:noProof/>
          <w:sz w:val="24"/>
          <w:szCs w:val="24"/>
          <w:lang w:eastAsia="fr-FR"/>
        </w:rPr>
        <w:lastRenderedPageBreak/>
        <w:drawing>
          <wp:inline distT="0" distB="0" distL="0" distR="0" wp14:anchorId="4BFC6C1C" wp14:editId="2DCC5B7E">
            <wp:extent cx="4731026" cy="2178657"/>
            <wp:effectExtent l="0" t="0" r="0" b="317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A3302B7" w14:textId="77777777" w:rsidR="00DA3F06" w:rsidRDefault="006C57B5" w:rsidP="006C57B5">
      <w:pPr>
        <w:pStyle w:val="Paragraphedeliste"/>
        <w:numPr>
          <w:ilvl w:val="0"/>
          <w:numId w:val="2"/>
        </w:numPr>
        <w:spacing w:before="100" w:beforeAutospacing="1" w:after="119"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Dans quel but la BCE abaisse-elle ses taux directeurs ?</w:t>
      </w:r>
    </w:p>
    <w:p w14:paraId="31FBE379" w14:textId="77777777" w:rsidR="00C613BB" w:rsidRPr="00C613BB" w:rsidRDefault="00C613BB" w:rsidP="00C613BB">
      <w:pPr>
        <w:spacing w:before="100" w:beforeAutospacing="1" w:after="119" w:line="240" w:lineRule="auto"/>
        <w:ind w:left="360"/>
        <w:rPr>
          <w:rFonts w:ascii="Times New Roman" w:eastAsia="Times New Roman" w:hAnsi="Times New Roman" w:cs="Times New Roman"/>
          <w:b/>
          <w:sz w:val="24"/>
          <w:szCs w:val="24"/>
          <w:lang w:eastAsia="fr-FR"/>
        </w:rPr>
      </w:pPr>
      <w:r w:rsidRPr="00C613BB">
        <w:rPr>
          <w:rFonts w:ascii="Times New Roman" w:eastAsia="Times New Roman" w:hAnsi="Times New Roman" w:cs="Times New Roman"/>
          <w:b/>
          <w:sz w:val="24"/>
          <w:szCs w:val="24"/>
          <w:lang w:eastAsia="fr-FR"/>
        </w:rPr>
        <w:t>………………………………………………………………………………………………………………………………………………………………………………………………………………………………………………………………………………………………………………………………</w:t>
      </w:r>
    </w:p>
    <w:p w14:paraId="27526D41" w14:textId="77777777" w:rsidR="00C613BB" w:rsidRDefault="00C85AAB" w:rsidP="006C57B5">
      <w:pPr>
        <w:pStyle w:val="Paragraphedeliste"/>
        <w:numPr>
          <w:ilvl w:val="0"/>
          <w:numId w:val="2"/>
        </w:numPr>
        <w:spacing w:before="100" w:beforeAutospacing="1" w:after="119"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Quelle solution propose la BCE pour le problème de liquidités dont souffrent les banques</w:t>
      </w:r>
      <w:r w:rsidR="00C613BB">
        <w:rPr>
          <w:rFonts w:ascii="Times New Roman" w:eastAsia="Times New Roman" w:hAnsi="Times New Roman" w:cs="Times New Roman"/>
          <w:b/>
          <w:sz w:val="24"/>
          <w:szCs w:val="24"/>
          <w:lang w:eastAsia="fr-FR"/>
        </w:rPr>
        <w:t> </w:t>
      </w:r>
      <w:r>
        <w:rPr>
          <w:rFonts w:ascii="Times New Roman" w:eastAsia="Times New Roman" w:hAnsi="Times New Roman" w:cs="Times New Roman"/>
          <w:b/>
          <w:sz w:val="24"/>
          <w:szCs w:val="24"/>
          <w:lang w:eastAsia="fr-FR"/>
        </w:rPr>
        <w:t>de second rang</w:t>
      </w:r>
      <w:r w:rsidR="00C613BB">
        <w:rPr>
          <w:rFonts w:ascii="Times New Roman" w:eastAsia="Times New Roman" w:hAnsi="Times New Roman" w:cs="Times New Roman"/>
          <w:b/>
          <w:sz w:val="24"/>
          <w:szCs w:val="24"/>
          <w:lang w:eastAsia="fr-FR"/>
        </w:rPr>
        <w:t>?</w:t>
      </w:r>
    </w:p>
    <w:p w14:paraId="2036175B" w14:textId="77777777" w:rsidR="00C613BB" w:rsidRPr="00C613BB" w:rsidRDefault="00C613BB" w:rsidP="00C613BB">
      <w:pPr>
        <w:spacing w:before="100" w:beforeAutospacing="1" w:after="119" w:line="240" w:lineRule="auto"/>
        <w:ind w:left="360"/>
        <w:rPr>
          <w:rFonts w:ascii="Times New Roman" w:eastAsia="Times New Roman" w:hAnsi="Times New Roman" w:cs="Times New Roman"/>
          <w:b/>
          <w:sz w:val="24"/>
          <w:szCs w:val="24"/>
          <w:lang w:eastAsia="fr-FR"/>
        </w:rPr>
      </w:pPr>
      <w:r w:rsidRPr="00C613BB">
        <w:rPr>
          <w:rFonts w:ascii="Times New Roman" w:eastAsia="Times New Roman" w:hAnsi="Times New Roman" w:cs="Times New Roman"/>
          <w:b/>
          <w:sz w:val="24"/>
          <w:szCs w:val="24"/>
          <w:lang w:eastAsia="fr-FR"/>
        </w:rPr>
        <w:t>………………………………………………………………………………………………………………………………………………………………………………………………………………………………………………………………………………………………………………………………</w:t>
      </w:r>
    </w:p>
    <w:p w14:paraId="562AAF23" w14:textId="77777777" w:rsidR="00C613BB" w:rsidRPr="00C85AAB" w:rsidRDefault="00C85AAB" w:rsidP="00C85AAB">
      <w:pPr>
        <w:pStyle w:val="Paragraphedeliste"/>
        <w:numPr>
          <w:ilvl w:val="0"/>
          <w:numId w:val="2"/>
        </w:numPr>
        <w:spacing w:before="100" w:beforeAutospacing="1" w:after="119"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Comment la BCE tente –elle d’inciter les banques de second rang  à  accorder plus de crédits?</w:t>
      </w:r>
    </w:p>
    <w:p w14:paraId="3E8DAA95" w14:textId="77777777" w:rsidR="00B30E05" w:rsidRPr="0035483A" w:rsidRDefault="00DA3F06" w:rsidP="00DA3F06">
      <w:pPr>
        <w:pBdr>
          <w:top w:val="single" w:sz="4" w:space="1" w:color="auto"/>
          <w:left w:val="single" w:sz="4" w:space="4" w:color="auto"/>
          <w:bottom w:val="single" w:sz="4" w:space="1" w:color="auto"/>
          <w:right w:val="single" w:sz="4" w:space="4" w:color="auto"/>
        </w:pBdr>
        <w:spacing w:before="100" w:beforeAutospacing="1" w:after="119" w:line="240" w:lineRule="auto"/>
        <w:rPr>
          <w:rFonts w:ascii="Times New Roman" w:eastAsia="Times New Roman" w:hAnsi="Times New Roman" w:cs="Times New Roman"/>
          <w:b/>
          <w:sz w:val="24"/>
          <w:szCs w:val="24"/>
          <w:lang w:eastAsia="fr-FR"/>
        </w:rPr>
      </w:pPr>
      <w:r w:rsidRPr="0035483A">
        <w:rPr>
          <w:rFonts w:ascii="Times New Roman" w:eastAsia="Times New Roman" w:hAnsi="Times New Roman" w:cs="Times New Roman"/>
          <w:b/>
          <w:sz w:val="24"/>
          <w:szCs w:val="24"/>
          <w:lang w:eastAsia="fr-FR"/>
        </w:rPr>
        <w:t xml:space="preserve">Partie 2 : </w:t>
      </w:r>
      <w:r w:rsidR="00B30E05" w:rsidRPr="0035483A">
        <w:rPr>
          <w:rFonts w:ascii="Times New Roman" w:eastAsia="Times New Roman" w:hAnsi="Times New Roman" w:cs="Times New Roman"/>
          <w:b/>
          <w:sz w:val="24"/>
          <w:szCs w:val="24"/>
          <w:lang w:eastAsia="fr-FR"/>
        </w:rPr>
        <w:t>Comprendre les limites des politiques monétaires non conventionnelles de la BCE:</w:t>
      </w:r>
    </w:p>
    <w:p w14:paraId="5BD5D9F0" w14:textId="77777777" w:rsidR="00033F6C" w:rsidRPr="0035483A" w:rsidRDefault="00C85AAB" w:rsidP="00033F6C">
      <w:pPr>
        <w:pStyle w:val="Paragraphedeliste"/>
        <w:numPr>
          <w:ilvl w:val="0"/>
          <w:numId w:val="2"/>
        </w:numPr>
        <w:spacing w:before="100" w:beforeAutospacing="1" w:after="119" w:line="240" w:lineRule="auto"/>
        <w:rPr>
          <w:rFonts w:ascii="Times New Roman" w:hAnsi="Times New Roman" w:cs="Times New Roman"/>
          <w:b/>
          <w:sz w:val="24"/>
          <w:szCs w:val="24"/>
        </w:rPr>
      </w:pPr>
      <w:r>
        <w:rPr>
          <w:rFonts w:ascii="Times New Roman" w:hAnsi="Times New Roman" w:cs="Times New Roman"/>
          <w:b/>
          <w:sz w:val="24"/>
          <w:szCs w:val="24"/>
        </w:rPr>
        <w:t xml:space="preserve">Relisez </w:t>
      </w:r>
      <w:r w:rsidR="00033F6C" w:rsidRPr="0035483A">
        <w:rPr>
          <w:rFonts w:ascii="Times New Roman" w:hAnsi="Times New Roman" w:cs="Times New Roman"/>
          <w:b/>
          <w:sz w:val="24"/>
          <w:szCs w:val="24"/>
        </w:rPr>
        <w:t xml:space="preserve">en cours le document sur lequel vous avez travaillé en phase préparatoire </w:t>
      </w:r>
    </w:p>
    <w:p w14:paraId="3616B4CA" w14:textId="77777777" w:rsidR="00B30E05" w:rsidRPr="00C85AAB" w:rsidRDefault="00D9529B" w:rsidP="00C85AAB">
      <w:pPr>
        <w:shd w:val="clear" w:color="auto" w:fill="FBD4B4" w:themeFill="accent6" w:themeFillTint="66"/>
        <w:rPr>
          <w:rFonts w:ascii="Times New Roman" w:hAnsi="Times New Roman" w:cs="Times New Roman"/>
          <w:sz w:val="24"/>
          <w:szCs w:val="24"/>
        </w:rPr>
      </w:pPr>
      <w:hyperlink r:id="rId16" w:history="1">
        <w:r w:rsidR="00B30E05" w:rsidRPr="0035483A">
          <w:rPr>
            <w:rStyle w:val="Lienhypertexte"/>
            <w:rFonts w:ascii="Times New Roman" w:eastAsia="Times New Roman" w:hAnsi="Times New Roman" w:cs="Times New Roman"/>
            <w:b/>
            <w:sz w:val="24"/>
            <w:szCs w:val="24"/>
            <w:lang w:eastAsia="fr-FR"/>
          </w:rPr>
          <w:t>http://www.lafinancepourtous.com/Actualites/La-BCE-renforce-sa-politique-d-assouplissement-monetaire</w:t>
        </w:r>
      </w:hyperlink>
    </w:p>
    <w:p w14:paraId="202272BD" w14:textId="77777777" w:rsidR="007206AF" w:rsidRDefault="00C85AAB" w:rsidP="00C85AAB">
      <w:pPr>
        <w:rPr>
          <w:rFonts w:ascii="Times New Roman" w:hAnsi="Times New Roman" w:cs="Times New Roman"/>
          <w:b/>
          <w:sz w:val="24"/>
          <w:szCs w:val="24"/>
        </w:rPr>
      </w:pPr>
      <w:r w:rsidRPr="00C85AAB">
        <w:rPr>
          <w:rFonts w:ascii="Times New Roman" w:hAnsi="Times New Roman" w:cs="Times New Roman"/>
          <w:b/>
          <w:sz w:val="24"/>
          <w:szCs w:val="24"/>
        </w:rPr>
        <w:t>Répondez aux questions suivantes :</w:t>
      </w:r>
    </w:p>
    <w:p w14:paraId="64988FD4" w14:textId="77777777" w:rsidR="00C85AAB" w:rsidRPr="003F6D53" w:rsidRDefault="00C85AAB" w:rsidP="003F6D53">
      <w:pPr>
        <w:pStyle w:val="Paragraphedeliste"/>
        <w:numPr>
          <w:ilvl w:val="0"/>
          <w:numId w:val="2"/>
        </w:numPr>
        <w:rPr>
          <w:rFonts w:ascii="Times New Roman" w:hAnsi="Times New Roman" w:cs="Times New Roman"/>
          <w:b/>
          <w:sz w:val="24"/>
          <w:szCs w:val="24"/>
        </w:rPr>
      </w:pPr>
      <w:r>
        <w:rPr>
          <w:rFonts w:ascii="Times New Roman" w:hAnsi="Times New Roman" w:cs="Times New Roman"/>
          <w:b/>
          <w:sz w:val="24"/>
          <w:szCs w:val="24"/>
        </w:rPr>
        <w:t>Les politiques non conventionnelles menées par la BCE ont- elle réussi jusqu’à présent </w:t>
      </w:r>
      <w:r w:rsidR="003F6D53">
        <w:rPr>
          <w:rFonts w:ascii="Times New Roman" w:hAnsi="Times New Roman" w:cs="Times New Roman"/>
          <w:b/>
          <w:sz w:val="24"/>
          <w:szCs w:val="24"/>
        </w:rPr>
        <w:t>à relancer la croissance économique de la zone euro</w:t>
      </w:r>
      <w:r>
        <w:rPr>
          <w:rFonts w:ascii="Times New Roman" w:hAnsi="Times New Roman" w:cs="Times New Roman"/>
          <w:b/>
          <w:sz w:val="24"/>
          <w:szCs w:val="24"/>
        </w:rPr>
        <w:t>?</w:t>
      </w:r>
      <w:r w:rsidRPr="003F6D53">
        <w:rPr>
          <w:rFonts w:ascii="Times New Roman" w:eastAsia="Times New Roman" w:hAnsi="Times New Roman" w:cs="Times New Roman"/>
          <w:b/>
          <w:sz w:val="24"/>
          <w:szCs w:val="24"/>
          <w:lang w:eastAsia="fr-FR"/>
        </w:rPr>
        <w:t>………………………………………………………………………………………………………………………………………………………………………………………………………………………………………………………………………………………………………………………………</w:t>
      </w:r>
    </w:p>
    <w:p w14:paraId="4BD2A9AE" w14:textId="77777777" w:rsidR="003F6D53" w:rsidRDefault="00C85AAB" w:rsidP="003F6D53">
      <w:pPr>
        <w:pStyle w:val="Paragraphedeliste"/>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Montrez que cette politique monétaire fait courir un </w:t>
      </w:r>
      <w:r w:rsidRPr="003F6D53">
        <w:rPr>
          <w:rFonts w:ascii="Times New Roman" w:hAnsi="Times New Roman" w:cs="Times New Roman"/>
          <w:b/>
          <w:sz w:val="24"/>
          <w:szCs w:val="24"/>
          <w:shd w:val="clear" w:color="auto" w:fill="FDE9D9" w:themeFill="accent6" w:themeFillTint="33"/>
        </w:rPr>
        <w:t>risque d’aléa moral</w:t>
      </w:r>
      <w:r>
        <w:rPr>
          <w:rFonts w:ascii="Times New Roman" w:hAnsi="Times New Roman" w:cs="Times New Roman"/>
          <w:b/>
          <w:sz w:val="24"/>
          <w:szCs w:val="24"/>
        </w:rPr>
        <w:t xml:space="preserve"> aux économies de la zone euro et expliquez sa nature</w:t>
      </w:r>
    </w:p>
    <w:p w14:paraId="6BC4671A" w14:textId="77777777" w:rsidR="00C85AAB" w:rsidRPr="00C85AAB" w:rsidRDefault="00C85AAB" w:rsidP="003F6D53">
      <w:pPr>
        <w:pStyle w:val="Paragraphedeliste"/>
        <w:rPr>
          <w:rFonts w:ascii="Times New Roman" w:hAnsi="Times New Roman" w:cs="Times New Roman"/>
          <w:b/>
          <w:sz w:val="24"/>
          <w:szCs w:val="24"/>
        </w:rPr>
      </w:pPr>
      <w:r w:rsidRPr="003F6D53">
        <w:rPr>
          <w:rFonts w:ascii="Times New Roman" w:eastAsia="Times New Roman" w:hAnsi="Times New Roman" w:cs="Times New Roman"/>
          <w:b/>
          <w:sz w:val="24"/>
          <w:szCs w:val="24"/>
          <w:lang w:eastAsia="fr-FR"/>
        </w:rPr>
        <w:t>………………………………………………………………………………………………………………………………………………………………………………………………………………………………………………………………………………………………………………………………</w:t>
      </w:r>
    </w:p>
    <w:p w14:paraId="68B44A0D" w14:textId="77777777" w:rsidR="00C85AAB" w:rsidRDefault="003F6D53" w:rsidP="003F6D53">
      <w:pPr>
        <w:pStyle w:val="Paragraphedeliste"/>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Existe-il </w:t>
      </w:r>
      <w:r w:rsidRPr="005C71A0">
        <w:rPr>
          <w:rFonts w:ascii="Times New Roman" w:hAnsi="Times New Roman" w:cs="Times New Roman"/>
          <w:b/>
          <w:sz w:val="24"/>
          <w:szCs w:val="24"/>
          <w:shd w:val="clear" w:color="auto" w:fill="FDE9D9" w:themeFill="accent6" w:themeFillTint="33"/>
        </w:rPr>
        <w:t>des risques systémiques</w:t>
      </w:r>
      <w:r>
        <w:rPr>
          <w:rFonts w:ascii="Times New Roman" w:hAnsi="Times New Roman" w:cs="Times New Roman"/>
          <w:b/>
          <w:sz w:val="24"/>
          <w:szCs w:val="24"/>
        </w:rPr>
        <w:t xml:space="preserve"> générés par cette nouvelle politique de la BCE ?</w:t>
      </w:r>
    </w:p>
    <w:p w14:paraId="6789CD6E" w14:textId="77777777" w:rsidR="003F6D53" w:rsidRPr="003F6D53" w:rsidRDefault="003F6D53" w:rsidP="003F6D53">
      <w:pPr>
        <w:pStyle w:val="Paragraphedeliste"/>
        <w:spacing w:before="100" w:beforeAutospacing="1" w:after="119" w:line="240" w:lineRule="auto"/>
        <w:rPr>
          <w:rFonts w:ascii="Times New Roman" w:eastAsia="Times New Roman" w:hAnsi="Times New Roman" w:cs="Times New Roman"/>
          <w:b/>
          <w:sz w:val="24"/>
          <w:szCs w:val="24"/>
          <w:lang w:eastAsia="fr-FR"/>
        </w:rPr>
      </w:pPr>
      <w:r w:rsidRPr="003F6D53">
        <w:rPr>
          <w:rFonts w:ascii="Times New Roman" w:eastAsia="Times New Roman" w:hAnsi="Times New Roman" w:cs="Times New Roman"/>
          <w:b/>
          <w:sz w:val="24"/>
          <w:szCs w:val="24"/>
          <w:lang w:eastAsia="fr-FR"/>
        </w:rPr>
        <w:t>………………………………………………………………………………………………………………………………………………………………………………………………………………………………………………………………………………………………………………………………</w:t>
      </w:r>
    </w:p>
    <w:p w14:paraId="2C9AE6B4" w14:textId="77777777" w:rsidR="003F6D53" w:rsidRPr="003F6D53" w:rsidRDefault="003F6D53" w:rsidP="003F6D53">
      <w:pPr>
        <w:pStyle w:val="Paragraphedeliste"/>
        <w:rPr>
          <w:rFonts w:ascii="Times New Roman" w:hAnsi="Times New Roman" w:cs="Times New Roman"/>
          <w:b/>
          <w:sz w:val="24"/>
          <w:szCs w:val="24"/>
        </w:rPr>
      </w:pPr>
    </w:p>
    <w:p w14:paraId="4D9156E4" w14:textId="77777777" w:rsidR="00C613BB" w:rsidRDefault="00C613BB" w:rsidP="007206AF">
      <w:pPr>
        <w:rPr>
          <w:rFonts w:ascii="Times New Roman" w:hAnsi="Times New Roman" w:cs="Times New Roman"/>
          <w:sz w:val="24"/>
          <w:szCs w:val="24"/>
        </w:rPr>
      </w:pPr>
    </w:p>
    <w:p w14:paraId="5BBF37F3" w14:textId="77777777" w:rsidR="00C613BB" w:rsidRPr="0035483A" w:rsidRDefault="00C613BB" w:rsidP="007206AF">
      <w:pPr>
        <w:rPr>
          <w:rFonts w:ascii="Times New Roman" w:hAnsi="Times New Roman" w:cs="Times New Roman"/>
          <w:sz w:val="24"/>
          <w:szCs w:val="24"/>
        </w:rPr>
      </w:pPr>
    </w:p>
    <w:p w14:paraId="51D25E49" w14:textId="77777777" w:rsidR="007206AF" w:rsidRPr="0035483A" w:rsidRDefault="007206AF" w:rsidP="00C613BB">
      <w:pPr>
        <w:pBdr>
          <w:top w:val="single" w:sz="4" w:space="1" w:color="auto"/>
          <w:left w:val="single" w:sz="4" w:space="4" w:color="auto"/>
          <w:bottom w:val="single" w:sz="4" w:space="1" w:color="auto"/>
          <w:right w:val="single" w:sz="4" w:space="4" w:color="auto"/>
        </w:pBdr>
        <w:shd w:val="clear" w:color="auto" w:fill="FDE9D9" w:themeFill="accent6" w:themeFillTint="33"/>
        <w:rPr>
          <w:rFonts w:ascii="Times New Roman" w:hAnsi="Times New Roman" w:cs="Times New Roman"/>
          <w:b/>
          <w:sz w:val="24"/>
          <w:szCs w:val="24"/>
        </w:rPr>
      </w:pPr>
      <w:r w:rsidRPr="0035483A">
        <w:rPr>
          <w:rFonts w:ascii="Times New Roman" w:hAnsi="Times New Roman" w:cs="Times New Roman"/>
          <w:b/>
          <w:sz w:val="24"/>
          <w:szCs w:val="24"/>
        </w:rPr>
        <w:t>Documents d’accompagnement :</w:t>
      </w:r>
    </w:p>
    <w:p w14:paraId="0E77FDC6" w14:textId="77777777" w:rsidR="007206AF" w:rsidRPr="0035483A" w:rsidRDefault="007206AF" w:rsidP="007206AF">
      <w:pPr>
        <w:rPr>
          <w:rStyle w:val="Lienhypertexte"/>
          <w:rFonts w:ascii="Times New Roman" w:eastAsia="Times New Roman" w:hAnsi="Times New Roman" w:cs="Times New Roman"/>
          <w:b/>
          <w:sz w:val="24"/>
          <w:szCs w:val="24"/>
          <w:lang w:eastAsia="fr-FR"/>
        </w:rPr>
      </w:pPr>
      <w:r w:rsidRPr="0035483A">
        <w:rPr>
          <w:rFonts w:ascii="Times New Roman" w:hAnsi="Times New Roman" w:cs="Times New Roman"/>
          <w:b/>
          <w:sz w:val="24"/>
          <w:szCs w:val="24"/>
        </w:rPr>
        <w:t xml:space="preserve">Document 1 : Le texte de la vidéo  </w:t>
      </w:r>
      <w:hyperlink r:id="rId17" w:history="1">
        <w:r w:rsidRPr="0035483A">
          <w:rPr>
            <w:rStyle w:val="Lienhypertexte"/>
            <w:rFonts w:ascii="Times New Roman" w:eastAsia="Times New Roman" w:hAnsi="Times New Roman" w:cs="Times New Roman"/>
            <w:b/>
            <w:sz w:val="24"/>
            <w:szCs w:val="24"/>
            <w:lang w:eastAsia="fr-FR"/>
          </w:rPr>
          <w:t>http://dessinemoileco.com/quantitative-easing/</w:t>
        </w:r>
      </w:hyperlink>
    </w:p>
    <w:p w14:paraId="2C4F53F2" w14:textId="77777777" w:rsidR="007206AF" w:rsidRPr="0035483A" w:rsidRDefault="007206AF" w:rsidP="007206AF">
      <w:pPr>
        <w:autoSpaceDE w:val="0"/>
        <w:autoSpaceDN w:val="0"/>
        <w:adjustRightInd w:val="0"/>
        <w:spacing w:after="0" w:line="240" w:lineRule="auto"/>
        <w:rPr>
          <w:rFonts w:ascii="Times New Roman" w:hAnsi="Times New Roman" w:cs="Times New Roman"/>
          <w:b/>
          <w:bCs/>
          <w:color w:val="404040"/>
          <w:sz w:val="24"/>
          <w:szCs w:val="24"/>
        </w:rPr>
      </w:pPr>
      <w:r w:rsidRPr="0035483A">
        <w:rPr>
          <w:rFonts w:ascii="Times New Roman" w:hAnsi="Times New Roman" w:cs="Times New Roman"/>
          <w:b/>
          <w:bCs/>
          <w:color w:val="404040"/>
          <w:sz w:val="24"/>
          <w:szCs w:val="24"/>
        </w:rPr>
        <w:t xml:space="preserve">Qu’est-ce que le quantitative </w:t>
      </w:r>
      <w:proofErr w:type="spellStart"/>
      <w:r w:rsidRPr="0035483A">
        <w:rPr>
          <w:rFonts w:ascii="Times New Roman" w:hAnsi="Times New Roman" w:cs="Times New Roman"/>
          <w:b/>
          <w:bCs/>
          <w:color w:val="404040"/>
          <w:sz w:val="24"/>
          <w:szCs w:val="24"/>
        </w:rPr>
        <w:t>easing</w:t>
      </w:r>
      <w:proofErr w:type="spellEnd"/>
      <w:r w:rsidRPr="0035483A">
        <w:rPr>
          <w:rFonts w:ascii="Times New Roman" w:hAnsi="Times New Roman" w:cs="Times New Roman"/>
          <w:b/>
          <w:bCs/>
          <w:color w:val="404040"/>
          <w:sz w:val="24"/>
          <w:szCs w:val="24"/>
        </w:rPr>
        <w:t xml:space="preserve"> ?</w:t>
      </w:r>
    </w:p>
    <w:p w14:paraId="7A543B89"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La Banque Centrale Européenne (BCE) est une institution qui veille notamment à garantir un taux annuel d’inflation stable d’environ 2%, c’est-à-dire une augmentation constante des prix d’environ 2%, qu’elle considère comme le signe d’un bon fonctionnement de l’économie. Aujourd’hui, l’inflation est proche de zéro ; la BCE veut donc faire augmenter les prix.</w:t>
      </w:r>
    </w:p>
    <w:p w14:paraId="0C7CE1B2"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Pour cela, la BCE peut notamment augmenter la quantité de monnaie en circulation dans notre économie, car plus il y a de monnaie, plus il y a de demande de biens ou de services et donc plus les prix augmentent.</w:t>
      </w:r>
    </w:p>
    <w:p w14:paraId="2DEB24EF"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Les prêts accordés par les banques constituent un moyen d’injecter de la monnaie dans notre économie.</w:t>
      </w:r>
    </w:p>
    <w:p w14:paraId="30F4B24D"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En effet, lorsqu’une banque accorde un prêt à un particulier ou à une entreprise, elle crée de la monnaie qu’elle n’a pas grâce à une simple écriture comptable. Cette monnaie circule ensuite dans notre économie.</w:t>
      </w:r>
    </w:p>
    <w:p w14:paraId="366906C5"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Aujourd’hui, la BCE souhaite donc inciter les banques à prêter et les particuliers et les entreprises à emprunter pour relancer l’activité économique.</w:t>
      </w:r>
    </w:p>
    <w:p w14:paraId="76358263"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Pour cela, elle a déjà baissé au maximum son taux directeur, qui est le taux auquel elle prête de l’argent aux banques, afin de maintenir des taux d’intérêt faibles sur le long terme. Moins les banques empruntent cher, plus elles peuvent prêter facilement.</w:t>
      </w:r>
    </w:p>
    <w:p w14:paraId="7DD81376"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Aujourd’hui, malgré un taux directeur proche de 0%, le crédit ne reprend pas.</w:t>
      </w:r>
    </w:p>
    <w:p w14:paraId="656F8DAD"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 xml:space="preserve">Elle utilise donc un nouveau levier appelé quantitative </w:t>
      </w:r>
      <w:proofErr w:type="spellStart"/>
      <w:r w:rsidRPr="0035483A">
        <w:rPr>
          <w:rFonts w:ascii="Times New Roman" w:hAnsi="Times New Roman" w:cs="Times New Roman"/>
          <w:color w:val="000000"/>
          <w:sz w:val="24"/>
          <w:szCs w:val="24"/>
        </w:rPr>
        <w:t>easing</w:t>
      </w:r>
      <w:proofErr w:type="spellEnd"/>
      <w:r w:rsidRPr="0035483A">
        <w:rPr>
          <w:rFonts w:ascii="Times New Roman" w:hAnsi="Times New Roman" w:cs="Times New Roman"/>
          <w:color w:val="000000"/>
          <w:sz w:val="24"/>
          <w:szCs w:val="24"/>
        </w:rPr>
        <w:t xml:space="preserve"> : il consiste à augmenter les liquidités des banques en rachetant à des conditions avantageuses leurs obligations d’Etat. En effet, les banques investissent dans des obligations d’Etat car celles-ci constituent un placement peu risqué.</w:t>
      </w:r>
    </w:p>
    <w:p w14:paraId="039B10C6"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Si les banques utilisent cet apport de liquidités pour prêter de l’argent aux entreprises et aux particuliers, la reprise de l’emprunt devrait faire mécaniquement remonter le taux d’inflation.</w:t>
      </w:r>
    </w:p>
    <w:p w14:paraId="6EDF371F"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A moyen terme, le maintien durable des taux d’intérêt à un faible niveau conjugué à une augmentation des prix devrait inciter les entreprises et les particuliers à emprunter. En effet, il est souvent très avantageux d’emprunter dans une situation d’inflation car le taux d’intérêt réellement payé (que l’on appelle taux d’intérêt réel) correspond à la différence entre le taux d’intérêt et le taux d’inflation.</w:t>
      </w:r>
    </w:p>
    <w:p w14:paraId="04528D23" w14:textId="77777777" w:rsidR="007206AF" w:rsidRPr="0035483A"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 xml:space="preserve">Avec le quantitative </w:t>
      </w:r>
      <w:proofErr w:type="spellStart"/>
      <w:r w:rsidRPr="0035483A">
        <w:rPr>
          <w:rFonts w:ascii="Times New Roman" w:hAnsi="Times New Roman" w:cs="Times New Roman"/>
          <w:color w:val="000000"/>
          <w:sz w:val="24"/>
          <w:szCs w:val="24"/>
        </w:rPr>
        <w:t>easing</w:t>
      </w:r>
      <w:proofErr w:type="spellEnd"/>
      <w:r w:rsidRPr="0035483A">
        <w:rPr>
          <w:rFonts w:ascii="Times New Roman" w:hAnsi="Times New Roman" w:cs="Times New Roman"/>
          <w:color w:val="000000"/>
          <w:sz w:val="24"/>
          <w:szCs w:val="24"/>
        </w:rPr>
        <w:t>, la BCE espère retrouver un taux d’inflation proche de 2% en entraînant la reprise du crédit, donc de l’investissement et de la croissance.</w:t>
      </w:r>
    </w:p>
    <w:p w14:paraId="6DFD2857" w14:textId="77777777" w:rsidR="007206AF" w:rsidRDefault="007206AF" w:rsidP="007206AF">
      <w:pPr>
        <w:autoSpaceDE w:val="0"/>
        <w:autoSpaceDN w:val="0"/>
        <w:adjustRightInd w:val="0"/>
        <w:spacing w:after="0" w:line="240" w:lineRule="auto"/>
        <w:rPr>
          <w:rFonts w:ascii="Times New Roman" w:hAnsi="Times New Roman" w:cs="Times New Roman"/>
          <w:color w:val="000000"/>
          <w:sz w:val="24"/>
          <w:szCs w:val="24"/>
        </w:rPr>
      </w:pPr>
      <w:r w:rsidRPr="0035483A">
        <w:rPr>
          <w:rFonts w:ascii="Times New Roman" w:hAnsi="Times New Roman" w:cs="Times New Roman"/>
          <w:color w:val="000000"/>
          <w:sz w:val="24"/>
          <w:szCs w:val="24"/>
        </w:rPr>
        <w:t>Néanmoins, il faut pour cela que les banques utilisent ces liquidités pour favoriser le crédit et que tous les agents économiques reprennent confiance.</w:t>
      </w:r>
    </w:p>
    <w:p w14:paraId="24018D64" w14:textId="77777777" w:rsidR="00950655" w:rsidRDefault="00950655" w:rsidP="007206AF">
      <w:pPr>
        <w:autoSpaceDE w:val="0"/>
        <w:autoSpaceDN w:val="0"/>
        <w:adjustRightInd w:val="0"/>
        <w:spacing w:after="0" w:line="240" w:lineRule="auto"/>
        <w:rPr>
          <w:rFonts w:ascii="Times New Roman" w:hAnsi="Times New Roman" w:cs="Times New Roman"/>
          <w:color w:val="000000"/>
          <w:sz w:val="24"/>
          <w:szCs w:val="24"/>
        </w:rPr>
      </w:pPr>
    </w:p>
    <w:p w14:paraId="6A99EB80" w14:textId="77777777" w:rsidR="00C613BB" w:rsidRDefault="00C613BB" w:rsidP="00950655">
      <w:pPr>
        <w:rPr>
          <w:rFonts w:ascii="Times New Roman" w:hAnsi="Times New Roman" w:cs="Times New Roman"/>
          <w:b/>
          <w:color w:val="000000"/>
          <w:sz w:val="24"/>
          <w:szCs w:val="24"/>
        </w:rPr>
      </w:pPr>
    </w:p>
    <w:p w14:paraId="2DEC73DA" w14:textId="77777777" w:rsidR="00C613BB" w:rsidRDefault="00C613BB" w:rsidP="00950655">
      <w:pPr>
        <w:rPr>
          <w:rFonts w:ascii="Times New Roman" w:hAnsi="Times New Roman" w:cs="Times New Roman"/>
          <w:b/>
          <w:color w:val="000000"/>
          <w:sz w:val="24"/>
          <w:szCs w:val="24"/>
        </w:rPr>
      </w:pPr>
    </w:p>
    <w:p w14:paraId="632550AE" w14:textId="77777777" w:rsidR="00C613BB" w:rsidRDefault="00C613BB" w:rsidP="00950655">
      <w:pPr>
        <w:rPr>
          <w:rFonts w:ascii="Times New Roman" w:hAnsi="Times New Roman" w:cs="Times New Roman"/>
          <w:b/>
          <w:color w:val="000000"/>
          <w:sz w:val="24"/>
          <w:szCs w:val="24"/>
        </w:rPr>
      </w:pPr>
    </w:p>
    <w:p w14:paraId="2994FEED" w14:textId="77777777" w:rsidR="00C613BB" w:rsidRDefault="00C613BB" w:rsidP="00950655">
      <w:pPr>
        <w:rPr>
          <w:rFonts w:ascii="Times New Roman" w:hAnsi="Times New Roman" w:cs="Times New Roman"/>
          <w:b/>
          <w:color w:val="000000"/>
          <w:sz w:val="24"/>
          <w:szCs w:val="24"/>
        </w:rPr>
      </w:pPr>
    </w:p>
    <w:p w14:paraId="54048A29" w14:textId="77777777" w:rsidR="00C613BB" w:rsidRDefault="00C613BB" w:rsidP="00950655">
      <w:pPr>
        <w:rPr>
          <w:rFonts w:ascii="Times New Roman" w:hAnsi="Times New Roman" w:cs="Times New Roman"/>
          <w:b/>
          <w:color w:val="000000"/>
          <w:sz w:val="24"/>
          <w:szCs w:val="24"/>
        </w:rPr>
      </w:pPr>
    </w:p>
    <w:p w14:paraId="4D352C59" w14:textId="77777777" w:rsidR="00C613BB" w:rsidRDefault="00C613BB" w:rsidP="00950655">
      <w:pPr>
        <w:rPr>
          <w:rFonts w:ascii="Times New Roman" w:hAnsi="Times New Roman" w:cs="Times New Roman"/>
          <w:b/>
          <w:color w:val="000000"/>
          <w:sz w:val="24"/>
          <w:szCs w:val="24"/>
        </w:rPr>
      </w:pPr>
    </w:p>
    <w:p w14:paraId="0BF329ED" w14:textId="77777777" w:rsidR="00C613BB" w:rsidRDefault="00C613BB" w:rsidP="00950655">
      <w:pPr>
        <w:rPr>
          <w:rFonts w:ascii="Times New Roman" w:hAnsi="Times New Roman" w:cs="Times New Roman"/>
          <w:b/>
          <w:color w:val="000000"/>
          <w:sz w:val="24"/>
          <w:szCs w:val="24"/>
        </w:rPr>
      </w:pPr>
    </w:p>
    <w:p w14:paraId="0A9C298A" w14:textId="77777777" w:rsidR="00C613BB" w:rsidRDefault="00C613BB" w:rsidP="00950655">
      <w:pPr>
        <w:rPr>
          <w:rFonts w:ascii="Times New Roman" w:hAnsi="Times New Roman" w:cs="Times New Roman"/>
          <w:b/>
          <w:color w:val="000000"/>
          <w:sz w:val="24"/>
          <w:szCs w:val="24"/>
        </w:rPr>
      </w:pPr>
    </w:p>
    <w:p w14:paraId="23F24EB4" w14:textId="77777777" w:rsidR="00C613BB" w:rsidRDefault="00C613BB" w:rsidP="00950655">
      <w:pPr>
        <w:rPr>
          <w:rFonts w:ascii="Times New Roman" w:hAnsi="Times New Roman" w:cs="Times New Roman"/>
          <w:b/>
          <w:color w:val="000000"/>
          <w:sz w:val="24"/>
          <w:szCs w:val="24"/>
        </w:rPr>
      </w:pPr>
    </w:p>
    <w:p w14:paraId="21C21261" w14:textId="77777777" w:rsidR="003F6D53" w:rsidRDefault="003F6D53" w:rsidP="00950655">
      <w:pPr>
        <w:rPr>
          <w:rFonts w:ascii="Times New Roman" w:hAnsi="Times New Roman" w:cs="Times New Roman"/>
          <w:b/>
          <w:color w:val="000000"/>
          <w:sz w:val="24"/>
          <w:szCs w:val="24"/>
        </w:rPr>
      </w:pPr>
    </w:p>
    <w:p w14:paraId="2D47D58D" w14:textId="77777777" w:rsidR="003F6D53" w:rsidRDefault="003F6D53" w:rsidP="00950655">
      <w:pPr>
        <w:rPr>
          <w:rFonts w:ascii="Times New Roman" w:hAnsi="Times New Roman" w:cs="Times New Roman"/>
          <w:b/>
          <w:color w:val="000000"/>
          <w:sz w:val="24"/>
          <w:szCs w:val="24"/>
        </w:rPr>
      </w:pPr>
    </w:p>
    <w:p w14:paraId="37D8528C" w14:textId="77777777" w:rsidR="00C613BB" w:rsidRDefault="00C613BB" w:rsidP="00950655">
      <w:pPr>
        <w:rPr>
          <w:rFonts w:ascii="Times New Roman" w:hAnsi="Times New Roman" w:cs="Times New Roman"/>
          <w:b/>
          <w:color w:val="000000"/>
          <w:sz w:val="24"/>
          <w:szCs w:val="24"/>
        </w:rPr>
      </w:pPr>
    </w:p>
    <w:p w14:paraId="00E393EA" w14:textId="77777777" w:rsidR="00950655" w:rsidRDefault="00950655" w:rsidP="00950655">
      <w:pPr>
        <w:rPr>
          <w:rStyle w:val="Lienhypertexte"/>
          <w:rFonts w:ascii="Times New Roman" w:eastAsia="Times New Roman" w:hAnsi="Times New Roman" w:cs="Times New Roman"/>
          <w:b/>
          <w:sz w:val="24"/>
          <w:szCs w:val="24"/>
          <w:lang w:eastAsia="fr-FR"/>
        </w:rPr>
      </w:pPr>
      <w:r w:rsidRPr="00950655">
        <w:rPr>
          <w:rFonts w:ascii="Times New Roman" w:hAnsi="Times New Roman" w:cs="Times New Roman"/>
          <w:b/>
          <w:color w:val="000000"/>
          <w:sz w:val="24"/>
          <w:szCs w:val="24"/>
        </w:rPr>
        <w:t>Document 2</w:t>
      </w:r>
      <w:r>
        <w:rPr>
          <w:rFonts w:ascii="Times New Roman" w:hAnsi="Times New Roman" w:cs="Times New Roman"/>
          <w:b/>
          <w:color w:val="000000"/>
          <w:sz w:val="24"/>
          <w:szCs w:val="24"/>
        </w:rPr>
        <w:t xml:space="preserve"> : Schéma récapitulatif de la vidéo </w:t>
      </w:r>
      <w:r w:rsidRPr="0035483A">
        <w:rPr>
          <w:rFonts w:ascii="Times New Roman" w:hAnsi="Times New Roman" w:cs="Times New Roman"/>
          <w:b/>
          <w:sz w:val="24"/>
          <w:szCs w:val="24"/>
        </w:rPr>
        <w:t xml:space="preserve"> </w:t>
      </w:r>
      <w:hyperlink r:id="rId18" w:history="1">
        <w:r w:rsidRPr="0035483A">
          <w:rPr>
            <w:rStyle w:val="Lienhypertexte"/>
            <w:rFonts w:ascii="Times New Roman" w:eastAsia="Times New Roman" w:hAnsi="Times New Roman" w:cs="Times New Roman"/>
            <w:b/>
            <w:sz w:val="24"/>
            <w:szCs w:val="24"/>
            <w:lang w:eastAsia="fr-FR"/>
          </w:rPr>
          <w:t>http://dessinemoileco.com/quantitative-easing/</w:t>
        </w:r>
      </w:hyperlink>
    </w:p>
    <w:p w14:paraId="35AE1D53" w14:textId="77777777" w:rsidR="00D9529B" w:rsidRPr="0035483A" w:rsidRDefault="00D9529B" w:rsidP="00950655">
      <w:pPr>
        <w:rPr>
          <w:rStyle w:val="Lienhypertexte"/>
          <w:rFonts w:ascii="Times New Roman" w:eastAsia="Times New Roman" w:hAnsi="Times New Roman" w:cs="Times New Roman"/>
          <w:b/>
          <w:sz w:val="24"/>
          <w:szCs w:val="24"/>
          <w:lang w:eastAsia="fr-FR"/>
        </w:rPr>
      </w:pPr>
    </w:p>
    <w:p w14:paraId="73A7BE29" w14:textId="77777777" w:rsidR="00950655" w:rsidRPr="00950655" w:rsidRDefault="003F6D53" w:rsidP="00D9529B">
      <w:pPr>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r>
        <w:rPr>
          <w:noProof/>
          <w:lang w:eastAsia="fr-FR"/>
        </w:rPr>
        <w:drawing>
          <wp:inline distT="0" distB="0" distL="0" distR="0" wp14:anchorId="13DECB24" wp14:editId="6523D9CD">
            <wp:extent cx="3306749" cy="3409348"/>
            <wp:effectExtent l="0" t="635"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5400000">
                      <a:off x="0" y="0"/>
                      <a:ext cx="3308977" cy="3411645"/>
                    </a:xfrm>
                    <a:prstGeom prst="rect">
                      <a:avLst/>
                    </a:prstGeom>
                    <a:extLst>
                      <a:ext uri="{FAA26D3D-D897-4be2-8F04-BA451C77F1D7}">
                        <ma14:placeholderFlag xmlns:ma14="http://schemas.microsoft.com/office/mac/drawingml/2011/main"/>
                      </a:ext>
                    </a:extLst>
                  </pic:spPr>
                </pic:pic>
              </a:graphicData>
            </a:graphic>
          </wp:inline>
        </w:drawing>
      </w:r>
      <w:bookmarkEnd w:id="0"/>
    </w:p>
    <w:p w14:paraId="05371B5E" w14:textId="77777777" w:rsidR="007206AF" w:rsidRPr="0035483A" w:rsidRDefault="007206AF" w:rsidP="007206AF">
      <w:pPr>
        <w:rPr>
          <w:rFonts w:ascii="Times New Roman" w:hAnsi="Times New Roman" w:cs="Times New Roman"/>
          <w:b/>
          <w:sz w:val="24"/>
          <w:szCs w:val="24"/>
        </w:rPr>
      </w:pPr>
    </w:p>
    <w:p w14:paraId="2E218AFD" w14:textId="77777777" w:rsidR="00C613BB" w:rsidRDefault="00C613BB" w:rsidP="007206AF">
      <w:pPr>
        <w:rPr>
          <w:rFonts w:ascii="Times New Roman" w:hAnsi="Times New Roman" w:cs="Times New Roman"/>
          <w:b/>
          <w:sz w:val="24"/>
          <w:szCs w:val="24"/>
        </w:rPr>
      </w:pPr>
    </w:p>
    <w:p w14:paraId="57DDDB55" w14:textId="77777777" w:rsidR="007206AF" w:rsidRPr="0035483A" w:rsidRDefault="0035483A" w:rsidP="007206AF">
      <w:pPr>
        <w:rPr>
          <w:rStyle w:val="Lienhypertexte"/>
          <w:rFonts w:ascii="Times New Roman" w:eastAsia="Times New Roman" w:hAnsi="Times New Roman" w:cs="Times New Roman"/>
          <w:b/>
          <w:bCs/>
          <w:i/>
          <w:sz w:val="24"/>
          <w:szCs w:val="24"/>
          <w:lang w:eastAsia="fr-FR"/>
        </w:rPr>
      </w:pPr>
      <w:r w:rsidRPr="0035483A">
        <w:rPr>
          <w:rFonts w:ascii="Times New Roman" w:hAnsi="Times New Roman" w:cs="Times New Roman"/>
          <w:b/>
          <w:sz w:val="24"/>
          <w:szCs w:val="24"/>
        </w:rPr>
        <w:t>Doc</w:t>
      </w:r>
      <w:r w:rsidR="00C613BB">
        <w:rPr>
          <w:rFonts w:ascii="Times New Roman" w:hAnsi="Times New Roman" w:cs="Times New Roman"/>
          <w:b/>
          <w:sz w:val="24"/>
          <w:szCs w:val="24"/>
        </w:rPr>
        <w:t>ument 3</w:t>
      </w:r>
      <w:r w:rsidRPr="0035483A">
        <w:rPr>
          <w:rFonts w:ascii="Times New Roman" w:hAnsi="Times New Roman" w:cs="Times New Roman"/>
          <w:b/>
          <w:sz w:val="24"/>
          <w:szCs w:val="24"/>
        </w:rPr>
        <w:t xml:space="preserve"> : Le texte de </w:t>
      </w:r>
      <w:hyperlink r:id="rId20" w:history="1">
        <w:r w:rsidRPr="0035483A">
          <w:rPr>
            <w:rStyle w:val="Lienhypertexte"/>
            <w:rFonts w:ascii="Times New Roman" w:eastAsia="Times New Roman" w:hAnsi="Times New Roman" w:cs="Times New Roman"/>
            <w:b/>
            <w:bCs/>
            <w:i/>
            <w:sz w:val="24"/>
            <w:szCs w:val="24"/>
            <w:lang w:eastAsia="fr-FR"/>
          </w:rPr>
          <w:t>http://www.lafinancepourtous.com/Actualites/La-BCE-renforce-sa-politique-d-assouplissement-monetaire</w:t>
        </w:r>
      </w:hyperlink>
    </w:p>
    <w:p w14:paraId="75343A65"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p>
    <w:p w14:paraId="6FB131D2" w14:textId="77777777" w:rsidR="0035483A" w:rsidRDefault="0035483A" w:rsidP="0035483A">
      <w:pPr>
        <w:autoSpaceDE w:val="0"/>
        <w:autoSpaceDN w:val="0"/>
        <w:adjustRightInd w:val="0"/>
        <w:spacing w:after="0" w:line="240" w:lineRule="auto"/>
        <w:rPr>
          <w:rFonts w:ascii="Times New Roman" w:hAnsi="Times New Roman" w:cs="Times New Roman"/>
          <w:b/>
          <w:bCs/>
          <w:color w:val="8FB631"/>
          <w:sz w:val="24"/>
          <w:szCs w:val="24"/>
        </w:rPr>
      </w:pPr>
      <w:r w:rsidRPr="0035483A">
        <w:rPr>
          <w:rFonts w:ascii="Times New Roman" w:hAnsi="Times New Roman" w:cs="Times New Roman"/>
          <w:b/>
          <w:bCs/>
          <w:color w:val="8FB631"/>
          <w:sz w:val="24"/>
          <w:szCs w:val="24"/>
        </w:rPr>
        <w:t>La BCE renforce sa politique d’assouplissement monétaire</w:t>
      </w:r>
    </w:p>
    <w:p w14:paraId="7BD12C50" w14:textId="77777777" w:rsidR="0035483A" w:rsidRPr="0035483A" w:rsidRDefault="0035483A" w:rsidP="0035483A">
      <w:pPr>
        <w:autoSpaceDE w:val="0"/>
        <w:autoSpaceDN w:val="0"/>
        <w:adjustRightInd w:val="0"/>
        <w:spacing w:after="0" w:line="240" w:lineRule="auto"/>
        <w:rPr>
          <w:rFonts w:ascii="Times New Roman" w:hAnsi="Times New Roman" w:cs="Times New Roman"/>
          <w:b/>
          <w:bCs/>
          <w:color w:val="8FB631"/>
          <w:sz w:val="24"/>
          <w:szCs w:val="24"/>
        </w:rPr>
      </w:pPr>
    </w:p>
    <w:p w14:paraId="229DEFFA" w14:textId="77777777" w:rsidR="0035483A" w:rsidRPr="0035483A" w:rsidRDefault="0035483A" w:rsidP="0035483A">
      <w:pPr>
        <w:autoSpaceDE w:val="0"/>
        <w:autoSpaceDN w:val="0"/>
        <w:adjustRightInd w:val="0"/>
        <w:spacing w:after="0" w:line="240" w:lineRule="auto"/>
        <w:rPr>
          <w:rFonts w:ascii="Times New Roman" w:hAnsi="Times New Roman" w:cs="Times New Roman"/>
          <w:b/>
          <w:bCs/>
          <w:color w:val="555555"/>
          <w:sz w:val="24"/>
          <w:szCs w:val="24"/>
        </w:rPr>
      </w:pPr>
      <w:r w:rsidRPr="0035483A">
        <w:rPr>
          <w:rFonts w:ascii="Times New Roman" w:hAnsi="Times New Roman" w:cs="Times New Roman"/>
          <w:b/>
          <w:bCs/>
          <w:color w:val="555555"/>
          <w:sz w:val="24"/>
          <w:szCs w:val="24"/>
        </w:rPr>
        <w:t>Lors de sa réunion du jeudi 10 mars 2016, le Conseil des gouverneurs de la</w:t>
      </w:r>
    </w:p>
    <w:p w14:paraId="200C077D" w14:textId="77777777" w:rsidR="0035483A" w:rsidRPr="0035483A" w:rsidRDefault="0035483A" w:rsidP="0035483A">
      <w:pPr>
        <w:autoSpaceDE w:val="0"/>
        <w:autoSpaceDN w:val="0"/>
        <w:adjustRightInd w:val="0"/>
        <w:spacing w:after="0" w:line="240" w:lineRule="auto"/>
        <w:rPr>
          <w:rFonts w:ascii="Times New Roman" w:hAnsi="Times New Roman" w:cs="Times New Roman"/>
          <w:b/>
          <w:bCs/>
          <w:color w:val="555555"/>
          <w:sz w:val="24"/>
          <w:szCs w:val="24"/>
        </w:rPr>
      </w:pPr>
      <w:r w:rsidRPr="0035483A">
        <w:rPr>
          <w:rFonts w:ascii="Times New Roman" w:hAnsi="Times New Roman" w:cs="Times New Roman"/>
          <w:b/>
          <w:bCs/>
          <w:color w:val="555555"/>
          <w:sz w:val="24"/>
          <w:szCs w:val="24"/>
        </w:rPr>
        <w:t>Banque Centrale Européenne (BCE) a décidé</w:t>
      </w:r>
      <w:r>
        <w:rPr>
          <w:rFonts w:ascii="Times New Roman" w:hAnsi="Times New Roman" w:cs="Times New Roman"/>
          <w:b/>
          <w:bCs/>
          <w:color w:val="555555"/>
          <w:sz w:val="24"/>
          <w:szCs w:val="24"/>
        </w:rPr>
        <w:t xml:space="preserve"> de baisser ses taux directeurs </w:t>
      </w:r>
      <w:r w:rsidRPr="0035483A">
        <w:rPr>
          <w:rFonts w:ascii="Times New Roman" w:hAnsi="Times New Roman" w:cs="Times New Roman"/>
          <w:b/>
          <w:bCs/>
          <w:color w:val="555555"/>
          <w:sz w:val="24"/>
          <w:szCs w:val="24"/>
        </w:rPr>
        <w:t>et de renforcer substantiellement son programme de rac</w:t>
      </w:r>
      <w:r>
        <w:rPr>
          <w:rFonts w:ascii="Times New Roman" w:hAnsi="Times New Roman" w:cs="Times New Roman"/>
          <w:b/>
          <w:bCs/>
          <w:color w:val="555555"/>
          <w:sz w:val="24"/>
          <w:szCs w:val="24"/>
        </w:rPr>
        <w:t xml:space="preserve">hat de titres </w:t>
      </w:r>
      <w:r w:rsidRPr="0035483A">
        <w:rPr>
          <w:rFonts w:ascii="Times New Roman" w:hAnsi="Times New Roman" w:cs="Times New Roman"/>
          <w:b/>
          <w:bCs/>
          <w:color w:val="555555"/>
          <w:sz w:val="24"/>
          <w:szCs w:val="24"/>
        </w:rPr>
        <w:t>financiers.</w:t>
      </w:r>
    </w:p>
    <w:p w14:paraId="08880CB2"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Lors de la conférence de presse qui suit tradition</w:t>
      </w:r>
      <w:r>
        <w:rPr>
          <w:rFonts w:ascii="Times New Roman" w:hAnsi="Times New Roman" w:cs="Times New Roman"/>
          <w:color w:val="555555"/>
          <w:sz w:val="24"/>
          <w:szCs w:val="24"/>
        </w:rPr>
        <w:t xml:space="preserve">nellement la réunion du Conseil </w:t>
      </w:r>
      <w:r w:rsidRPr="0035483A">
        <w:rPr>
          <w:rFonts w:ascii="Times New Roman" w:hAnsi="Times New Roman" w:cs="Times New Roman"/>
          <w:color w:val="555555"/>
          <w:sz w:val="24"/>
          <w:szCs w:val="24"/>
        </w:rPr>
        <w:t xml:space="preserve">des gouverneurs, Mario </w:t>
      </w:r>
      <w:proofErr w:type="spellStart"/>
      <w:r w:rsidRPr="0035483A">
        <w:rPr>
          <w:rFonts w:ascii="Times New Roman" w:hAnsi="Times New Roman" w:cs="Times New Roman"/>
          <w:color w:val="555555"/>
          <w:sz w:val="24"/>
          <w:szCs w:val="24"/>
        </w:rPr>
        <w:t>Draghi</w:t>
      </w:r>
      <w:proofErr w:type="spellEnd"/>
      <w:r w:rsidRPr="0035483A">
        <w:rPr>
          <w:rFonts w:ascii="Times New Roman" w:hAnsi="Times New Roman" w:cs="Times New Roman"/>
          <w:color w:val="555555"/>
          <w:sz w:val="24"/>
          <w:szCs w:val="24"/>
        </w:rPr>
        <w:t>, le Président de</w:t>
      </w:r>
      <w:r>
        <w:rPr>
          <w:rFonts w:ascii="Times New Roman" w:hAnsi="Times New Roman" w:cs="Times New Roman"/>
          <w:color w:val="555555"/>
          <w:sz w:val="24"/>
          <w:szCs w:val="24"/>
        </w:rPr>
        <w:t xml:space="preserve"> la BCE, a indiqué qu’en raison </w:t>
      </w:r>
      <w:r w:rsidRPr="0035483A">
        <w:rPr>
          <w:rFonts w:ascii="Times New Roman" w:hAnsi="Times New Roman" w:cs="Times New Roman"/>
          <w:color w:val="555555"/>
          <w:sz w:val="24"/>
          <w:szCs w:val="24"/>
        </w:rPr>
        <w:t>des faiblesses de la croissance et de l’inflation européenne, le conse</w:t>
      </w:r>
      <w:r>
        <w:rPr>
          <w:rFonts w:ascii="Times New Roman" w:hAnsi="Times New Roman" w:cs="Times New Roman"/>
          <w:color w:val="555555"/>
          <w:sz w:val="24"/>
          <w:szCs w:val="24"/>
        </w:rPr>
        <w:t xml:space="preserve">il des </w:t>
      </w:r>
      <w:r w:rsidRPr="0035483A">
        <w:rPr>
          <w:rFonts w:ascii="Times New Roman" w:hAnsi="Times New Roman" w:cs="Times New Roman"/>
          <w:color w:val="555555"/>
          <w:sz w:val="24"/>
          <w:szCs w:val="24"/>
        </w:rPr>
        <w:t>gouverneurs avait décidé de prendre de nouvel</w:t>
      </w:r>
      <w:r>
        <w:rPr>
          <w:rFonts w:ascii="Times New Roman" w:hAnsi="Times New Roman" w:cs="Times New Roman"/>
          <w:color w:val="555555"/>
          <w:sz w:val="24"/>
          <w:szCs w:val="24"/>
        </w:rPr>
        <w:t xml:space="preserve">les mesures allant dans le sens </w:t>
      </w:r>
      <w:r w:rsidRPr="0035483A">
        <w:rPr>
          <w:rFonts w:ascii="Times New Roman" w:hAnsi="Times New Roman" w:cs="Times New Roman"/>
          <w:color w:val="555555"/>
          <w:sz w:val="24"/>
          <w:szCs w:val="24"/>
        </w:rPr>
        <w:t>d’un plus ample assouplissement monétaire.</w:t>
      </w:r>
    </w:p>
    <w:p w14:paraId="665BCAAD" w14:textId="77777777" w:rsidR="0035483A" w:rsidRDefault="0035483A" w:rsidP="0035483A">
      <w:pPr>
        <w:autoSpaceDE w:val="0"/>
        <w:autoSpaceDN w:val="0"/>
        <w:adjustRightInd w:val="0"/>
        <w:spacing w:after="0" w:line="240" w:lineRule="auto"/>
        <w:rPr>
          <w:rFonts w:ascii="Times New Roman" w:hAnsi="Times New Roman" w:cs="Times New Roman"/>
          <w:b/>
          <w:bCs/>
          <w:color w:val="8FB631"/>
          <w:sz w:val="24"/>
          <w:szCs w:val="24"/>
        </w:rPr>
      </w:pPr>
    </w:p>
    <w:p w14:paraId="6A7B29A9" w14:textId="77777777" w:rsidR="0035483A" w:rsidRPr="0035483A" w:rsidRDefault="0035483A" w:rsidP="0035483A">
      <w:pPr>
        <w:autoSpaceDE w:val="0"/>
        <w:autoSpaceDN w:val="0"/>
        <w:adjustRightInd w:val="0"/>
        <w:spacing w:after="0" w:line="240" w:lineRule="auto"/>
        <w:rPr>
          <w:rFonts w:ascii="Times New Roman" w:hAnsi="Times New Roman" w:cs="Times New Roman"/>
          <w:b/>
          <w:bCs/>
          <w:color w:val="8FB631"/>
          <w:sz w:val="24"/>
          <w:szCs w:val="24"/>
        </w:rPr>
      </w:pPr>
      <w:r w:rsidRPr="0035483A">
        <w:rPr>
          <w:rFonts w:ascii="Times New Roman" w:hAnsi="Times New Roman" w:cs="Times New Roman"/>
          <w:b/>
          <w:bCs/>
          <w:color w:val="8FB631"/>
          <w:sz w:val="24"/>
          <w:szCs w:val="24"/>
        </w:rPr>
        <w:lastRenderedPageBreak/>
        <w:t>Faiblesse de la croissance de la zone euro</w:t>
      </w:r>
    </w:p>
    <w:p w14:paraId="11FA17EE" w14:textId="77777777" w:rsid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 xml:space="preserve">Lors de sa conférence de presse, Mario </w:t>
      </w:r>
      <w:proofErr w:type="spellStart"/>
      <w:r w:rsidRPr="0035483A">
        <w:rPr>
          <w:rFonts w:ascii="Times New Roman" w:hAnsi="Times New Roman" w:cs="Times New Roman"/>
          <w:color w:val="555555"/>
          <w:sz w:val="24"/>
          <w:szCs w:val="24"/>
        </w:rPr>
        <w:t>Draghi</w:t>
      </w:r>
      <w:proofErr w:type="spellEnd"/>
      <w:r w:rsidRPr="0035483A">
        <w:rPr>
          <w:rFonts w:ascii="Times New Roman" w:hAnsi="Times New Roman" w:cs="Times New Roman"/>
          <w:color w:val="555555"/>
          <w:sz w:val="24"/>
          <w:szCs w:val="24"/>
        </w:rPr>
        <w:t xml:space="preserve"> a souligné le fait que les données d’enq</w:t>
      </w:r>
      <w:r>
        <w:rPr>
          <w:rFonts w:ascii="Times New Roman" w:hAnsi="Times New Roman" w:cs="Times New Roman"/>
          <w:color w:val="555555"/>
          <w:sz w:val="24"/>
          <w:szCs w:val="24"/>
        </w:rPr>
        <w:t xml:space="preserve">uêtes auprès des </w:t>
      </w:r>
      <w:r w:rsidRPr="0035483A">
        <w:rPr>
          <w:rFonts w:ascii="Times New Roman" w:hAnsi="Times New Roman" w:cs="Times New Roman"/>
          <w:color w:val="555555"/>
          <w:sz w:val="24"/>
          <w:szCs w:val="24"/>
        </w:rPr>
        <w:t>entreprises européennes laissaient entrevoir une demande moindre qu’a</w:t>
      </w:r>
      <w:r>
        <w:rPr>
          <w:rFonts w:ascii="Times New Roman" w:hAnsi="Times New Roman" w:cs="Times New Roman"/>
          <w:color w:val="555555"/>
          <w:sz w:val="24"/>
          <w:szCs w:val="24"/>
        </w:rPr>
        <w:t xml:space="preserve">ttendue en zone euro et que les </w:t>
      </w:r>
      <w:r w:rsidRPr="0035483A">
        <w:rPr>
          <w:rFonts w:ascii="Times New Roman" w:hAnsi="Times New Roman" w:cs="Times New Roman"/>
          <w:color w:val="555555"/>
          <w:sz w:val="24"/>
          <w:szCs w:val="24"/>
        </w:rPr>
        <w:t xml:space="preserve">nouvelles projections macroéconomiques de la BCE faisaient ressortir </w:t>
      </w:r>
      <w:r w:rsidRPr="0035483A">
        <w:rPr>
          <w:rFonts w:ascii="Times New Roman" w:hAnsi="Times New Roman" w:cs="Times New Roman"/>
          <w:color w:val="555555"/>
          <w:sz w:val="24"/>
          <w:szCs w:val="24"/>
          <w:shd w:val="clear" w:color="auto" w:fill="FDE9D9" w:themeFill="accent6" w:themeFillTint="33"/>
        </w:rPr>
        <w:t>une baisse de la croissance du PIB</w:t>
      </w:r>
      <w:r>
        <w:rPr>
          <w:rFonts w:ascii="Times New Roman" w:hAnsi="Times New Roman" w:cs="Times New Roman"/>
          <w:color w:val="555555"/>
          <w:sz w:val="24"/>
          <w:szCs w:val="24"/>
        </w:rPr>
        <w:t xml:space="preserve"> et </w:t>
      </w:r>
      <w:r w:rsidRPr="00B27FEF">
        <w:rPr>
          <w:rFonts w:ascii="Times New Roman" w:hAnsi="Times New Roman" w:cs="Times New Roman"/>
          <w:color w:val="555555"/>
          <w:sz w:val="24"/>
          <w:szCs w:val="24"/>
          <w:shd w:val="clear" w:color="auto" w:fill="FDE9D9" w:themeFill="accent6" w:themeFillTint="33"/>
        </w:rPr>
        <w:t>de l’inflation</w:t>
      </w:r>
      <w:r>
        <w:rPr>
          <w:rFonts w:ascii="Times New Roman" w:hAnsi="Times New Roman" w:cs="Times New Roman"/>
          <w:color w:val="555555"/>
          <w:sz w:val="24"/>
          <w:szCs w:val="24"/>
        </w:rPr>
        <w:t xml:space="preserve"> </w:t>
      </w:r>
      <w:r w:rsidRPr="0035483A">
        <w:rPr>
          <w:rFonts w:ascii="Times New Roman" w:hAnsi="Times New Roman" w:cs="Times New Roman"/>
          <w:color w:val="555555"/>
          <w:sz w:val="24"/>
          <w:szCs w:val="24"/>
        </w:rPr>
        <w:t>en zone euro par rapport aux projections précédentes. Ainsi, la BCE s’attend désormais à</w:t>
      </w:r>
      <w:r w:rsidR="00B27FEF">
        <w:rPr>
          <w:rFonts w:ascii="Times New Roman" w:hAnsi="Times New Roman" w:cs="Times New Roman"/>
          <w:color w:val="555555"/>
          <w:sz w:val="24"/>
          <w:szCs w:val="24"/>
        </w:rPr>
        <w:t xml:space="preserve"> </w:t>
      </w:r>
      <w:r w:rsidRPr="0035483A">
        <w:rPr>
          <w:rFonts w:ascii="Times New Roman" w:hAnsi="Times New Roman" w:cs="Times New Roman"/>
          <w:color w:val="555555"/>
          <w:sz w:val="24"/>
          <w:szCs w:val="24"/>
        </w:rPr>
        <w:t>une hausse du PIB de la zone euro de 1,4 % en 2016 et de 1,7 % en 20</w:t>
      </w:r>
      <w:r w:rsidR="00B27FEF">
        <w:rPr>
          <w:rFonts w:ascii="Times New Roman" w:hAnsi="Times New Roman" w:cs="Times New Roman"/>
          <w:color w:val="555555"/>
          <w:sz w:val="24"/>
          <w:szCs w:val="24"/>
        </w:rPr>
        <w:t xml:space="preserve">17 contre respectivement +1,5 % </w:t>
      </w:r>
      <w:r w:rsidRPr="0035483A">
        <w:rPr>
          <w:rFonts w:ascii="Times New Roman" w:hAnsi="Times New Roman" w:cs="Times New Roman"/>
          <w:color w:val="555555"/>
          <w:sz w:val="24"/>
          <w:szCs w:val="24"/>
        </w:rPr>
        <w:t>et +1,9 % précédemment.</w:t>
      </w:r>
    </w:p>
    <w:p w14:paraId="4274CFA4" w14:textId="77777777" w:rsidR="00B27FEF" w:rsidRPr="0035483A" w:rsidRDefault="00B27FEF" w:rsidP="0035483A">
      <w:pPr>
        <w:autoSpaceDE w:val="0"/>
        <w:autoSpaceDN w:val="0"/>
        <w:adjustRightInd w:val="0"/>
        <w:spacing w:after="0" w:line="240" w:lineRule="auto"/>
        <w:rPr>
          <w:rFonts w:ascii="Times New Roman" w:hAnsi="Times New Roman" w:cs="Times New Roman"/>
          <w:color w:val="555555"/>
          <w:sz w:val="24"/>
          <w:szCs w:val="24"/>
        </w:rPr>
      </w:pPr>
    </w:p>
    <w:p w14:paraId="164E99AD" w14:textId="77777777" w:rsidR="0035483A" w:rsidRPr="0035483A" w:rsidRDefault="0035483A" w:rsidP="0035483A">
      <w:pPr>
        <w:autoSpaceDE w:val="0"/>
        <w:autoSpaceDN w:val="0"/>
        <w:adjustRightInd w:val="0"/>
        <w:spacing w:after="0" w:line="240" w:lineRule="auto"/>
        <w:rPr>
          <w:rFonts w:ascii="Times New Roman" w:hAnsi="Times New Roman" w:cs="Times New Roman"/>
          <w:b/>
          <w:bCs/>
          <w:color w:val="8FB631"/>
          <w:sz w:val="24"/>
          <w:szCs w:val="24"/>
        </w:rPr>
      </w:pPr>
      <w:r w:rsidRPr="0035483A">
        <w:rPr>
          <w:rFonts w:ascii="Times New Roman" w:hAnsi="Times New Roman" w:cs="Times New Roman"/>
          <w:b/>
          <w:bCs/>
          <w:color w:val="8FB631"/>
          <w:sz w:val="24"/>
          <w:szCs w:val="24"/>
        </w:rPr>
        <w:t>L’inflation reste trop basse</w:t>
      </w:r>
    </w:p>
    <w:p w14:paraId="606A462E"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 xml:space="preserve">Mario </w:t>
      </w:r>
      <w:proofErr w:type="spellStart"/>
      <w:r w:rsidRPr="0035483A">
        <w:rPr>
          <w:rFonts w:ascii="Times New Roman" w:hAnsi="Times New Roman" w:cs="Times New Roman"/>
          <w:color w:val="555555"/>
          <w:sz w:val="24"/>
          <w:szCs w:val="24"/>
        </w:rPr>
        <w:t>Draghi</w:t>
      </w:r>
      <w:proofErr w:type="spellEnd"/>
      <w:r w:rsidRPr="0035483A">
        <w:rPr>
          <w:rFonts w:ascii="Times New Roman" w:hAnsi="Times New Roman" w:cs="Times New Roman"/>
          <w:color w:val="555555"/>
          <w:sz w:val="24"/>
          <w:szCs w:val="24"/>
        </w:rPr>
        <w:t xml:space="preserve"> a par ailleurs souligné que l’inflation en zone euro, qui es</w:t>
      </w:r>
      <w:r w:rsidR="00B27FEF">
        <w:rPr>
          <w:rFonts w:ascii="Times New Roman" w:hAnsi="Times New Roman" w:cs="Times New Roman"/>
          <w:color w:val="555555"/>
          <w:sz w:val="24"/>
          <w:szCs w:val="24"/>
        </w:rPr>
        <w:t xml:space="preserve">t ressortie à - 0,2 % en rythme </w:t>
      </w:r>
      <w:r w:rsidRPr="0035483A">
        <w:rPr>
          <w:rFonts w:ascii="Times New Roman" w:hAnsi="Times New Roman" w:cs="Times New Roman"/>
          <w:color w:val="555555"/>
          <w:sz w:val="24"/>
          <w:szCs w:val="24"/>
        </w:rPr>
        <w:t xml:space="preserve">annuel en février 2016, restait trop basse et très en dessous de la cible à </w:t>
      </w:r>
      <w:r w:rsidR="00B27FEF">
        <w:rPr>
          <w:rFonts w:ascii="Times New Roman" w:hAnsi="Times New Roman" w:cs="Times New Roman"/>
          <w:color w:val="555555"/>
          <w:sz w:val="24"/>
          <w:szCs w:val="24"/>
        </w:rPr>
        <w:t xml:space="preserve">moyen terme de la BCE, à savoir </w:t>
      </w:r>
      <w:r w:rsidRPr="0035483A">
        <w:rPr>
          <w:rFonts w:ascii="Times New Roman" w:hAnsi="Times New Roman" w:cs="Times New Roman"/>
          <w:color w:val="555555"/>
          <w:sz w:val="24"/>
          <w:szCs w:val="24"/>
        </w:rPr>
        <w:t>une hausse des prix se situant à un niveau proche mais inférieur à 2 % par an.</w:t>
      </w:r>
    </w:p>
    <w:p w14:paraId="681345B9"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Les nouvelles projections établies par la BCE en matière d’inflation en z</w:t>
      </w:r>
      <w:r w:rsidR="00B27FEF">
        <w:rPr>
          <w:rFonts w:ascii="Times New Roman" w:hAnsi="Times New Roman" w:cs="Times New Roman"/>
          <w:color w:val="555555"/>
          <w:sz w:val="24"/>
          <w:szCs w:val="24"/>
        </w:rPr>
        <w:t xml:space="preserve">one euro tablent sur une hausse </w:t>
      </w:r>
      <w:r w:rsidRPr="0035483A">
        <w:rPr>
          <w:rFonts w:ascii="Times New Roman" w:hAnsi="Times New Roman" w:cs="Times New Roman"/>
          <w:color w:val="555555"/>
          <w:sz w:val="24"/>
          <w:szCs w:val="24"/>
        </w:rPr>
        <w:t>des prix de 0,1 % seulement en 2016 et de 1,3 % en 2017. Ces chiffres s’inscrivent en nette baisse par</w:t>
      </w:r>
    </w:p>
    <w:p w14:paraId="4666C371"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proofErr w:type="gramStart"/>
      <w:r w:rsidRPr="0035483A">
        <w:rPr>
          <w:rFonts w:ascii="Times New Roman" w:hAnsi="Times New Roman" w:cs="Times New Roman"/>
          <w:color w:val="555555"/>
          <w:sz w:val="24"/>
          <w:szCs w:val="24"/>
        </w:rPr>
        <w:t>rapport</w:t>
      </w:r>
      <w:proofErr w:type="gramEnd"/>
      <w:r w:rsidRPr="0035483A">
        <w:rPr>
          <w:rFonts w:ascii="Times New Roman" w:hAnsi="Times New Roman" w:cs="Times New Roman"/>
          <w:color w:val="555555"/>
          <w:sz w:val="24"/>
          <w:szCs w:val="24"/>
        </w:rPr>
        <w:t xml:space="preserve"> aux précédentes prévisions qui estimaient la progression de l’</w:t>
      </w:r>
      <w:r w:rsidR="00B27FEF">
        <w:rPr>
          <w:rFonts w:ascii="Times New Roman" w:hAnsi="Times New Roman" w:cs="Times New Roman"/>
          <w:color w:val="555555"/>
          <w:sz w:val="24"/>
          <w:szCs w:val="24"/>
        </w:rPr>
        <w:t>IPCH</w:t>
      </w:r>
      <w:r w:rsidRPr="0035483A">
        <w:rPr>
          <w:rFonts w:ascii="Times New Roman" w:hAnsi="Times New Roman" w:cs="Times New Roman"/>
          <w:color w:val="555555"/>
          <w:sz w:val="24"/>
          <w:szCs w:val="24"/>
        </w:rPr>
        <w:t xml:space="preserve"> à + 1 % en 2016 et + 1,6 % en</w:t>
      </w:r>
    </w:p>
    <w:p w14:paraId="6F649BD7"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2017.</w:t>
      </w:r>
    </w:p>
    <w:p w14:paraId="01BB867D" w14:textId="77777777" w:rsid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Aussi, face au défi du maintien durable de l’inflation à des niveaux trop faib</w:t>
      </w:r>
      <w:r w:rsidR="00B27FEF">
        <w:rPr>
          <w:rFonts w:ascii="Times New Roman" w:hAnsi="Times New Roman" w:cs="Times New Roman"/>
          <w:color w:val="555555"/>
          <w:sz w:val="24"/>
          <w:szCs w:val="24"/>
        </w:rPr>
        <w:t xml:space="preserve">les, le conseil des gouverneurs </w:t>
      </w:r>
      <w:r w:rsidRPr="0035483A">
        <w:rPr>
          <w:rFonts w:ascii="Times New Roman" w:hAnsi="Times New Roman" w:cs="Times New Roman"/>
          <w:color w:val="555555"/>
          <w:sz w:val="24"/>
          <w:szCs w:val="24"/>
        </w:rPr>
        <w:t>a décidé de renforcer substantiellement sa politique d’assouplissement monétaire.</w:t>
      </w:r>
    </w:p>
    <w:p w14:paraId="122314CC" w14:textId="77777777" w:rsidR="00B27FEF" w:rsidRPr="0035483A" w:rsidRDefault="00B27FEF" w:rsidP="0035483A">
      <w:pPr>
        <w:autoSpaceDE w:val="0"/>
        <w:autoSpaceDN w:val="0"/>
        <w:adjustRightInd w:val="0"/>
        <w:spacing w:after="0" w:line="240" w:lineRule="auto"/>
        <w:rPr>
          <w:rFonts w:ascii="Times New Roman" w:hAnsi="Times New Roman" w:cs="Times New Roman"/>
          <w:color w:val="555555"/>
          <w:sz w:val="24"/>
          <w:szCs w:val="24"/>
        </w:rPr>
      </w:pPr>
    </w:p>
    <w:p w14:paraId="66E1901B" w14:textId="77777777" w:rsidR="0035483A" w:rsidRDefault="0035483A" w:rsidP="0035483A">
      <w:pPr>
        <w:autoSpaceDE w:val="0"/>
        <w:autoSpaceDN w:val="0"/>
        <w:adjustRightInd w:val="0"/>
        <w:spacing w:after="0" w:line="240" w:lineRule="auto"/>
        <w:rPr>
          <w:rFonts w:ascii="Times New Roman" w:hAnsi="Times New Roman" w:cs="Times New Roman"/>
          <w:b/>
          <w:bCs/>
          <w:color w:val="8FB631"/>
          <w:sz w:val="24"/>
          <w:szCs w:val="24"/>
        </w:rPr>
      </w:pPr>
      <w:r w:rsidRPr="0035483A">
        <w:rPr>
          <w:rFonts w:ascii="Times New Roman" w:hAnsi="Times New Roman" w:cs="Times New Roman"/>
          <w:b/>
          <w:bCs/>
          <w:color w:val="8FB631"/>
          <w:sz w:val="24"/>
          <w:szCs w:val="24"/>
        </w:rPr>
        <w:t>Un renforcement des mesures d’assouplissement monétaires</w:t>
      </w:r>
    </w:p>
    <w:p w14:paraId="76623CEA" w14:textId="77777777" w:rsidR="00B27FEF" w:rsidRPr="0035483A" w:rsidRDefault="00B27FEF" w:rsidP="0035483A">
      <w:pPr>
        <w:autoSpaceDE w:val="0"/>
        <w:autoSpaceDN w:val="0"/>
        <w:adjustRightInd w:val="0"/>
        <w:spacing w:after="0" w:line="240" w:lineRule="auto"/>
        <w:rPr>
          <w:rFonts w:ascii="Times New Roman" w:hAnsi="Times New Roman" w:cs="Times New Roman"/>
          <w:b/>
          <w:bCs/>
          <w:color w:val="8FB631"/>
          <w:sz w:val="24"/>
          <w:szCs w:val="24"/>
        </w:rPr>
      </w:pPr>
    </w:p>
    <w:p w14:paraId="31C7C66F"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La BCE mène depuis le début de l’année 2015 une politique monétaire tr</w:t>
      </w:r>
      <w:r w:rsidR="00B27FEF">
        <w:rPr>
          <w:rFonts w:ascii="Times New Roman" w:hAnsi="Times New Roman" w:cs="Times New Roman"/>
          <w:color w:val="555555"/>
          <w:sz w:val="24"/>
          <w:szCs w:val="24"/>
        </w:rPr>
        <w:t xml:space="preserve">ès accommodante dont le but est </w:t>
      </w:r>
      <w:r w:rsidRPr="0035483A">
        <w:rPr>
          <w:rFonts w:ascii="Times New Roman" w:hAnsi="Times New Roman" w:cs="Times New Roman"/>
          <w:color w:val="555555"/>
          <w:sz w:val="24"/>
          <w:szCs w:val="24"/>
        </w:rPr>
        <w:t>de lutter contre les pressions en zone euro et de relance</w:t>
      </w:r>
      <w:r w:rsidR="00B27FEF">
        <w:rPr>
          <w:rFonts w:ascii="Times New Roman" w:hAnsi="Times New Roman" w:cs="Times New Roman"/>
          <w:color w:val="555555"/>
          <w:sz w:val="24"/>
          <w:szCs w:val="24"/>
        </w:rPr>
        <w:t xml:space="preserve">r l’activité économique. </w:t>
      </w:r>
      <w:r w:rsidR="00B27FEF" w:rsidRPr="00B27FEF">
        <w:rPr>
          <w:rFonts w:ascii="Times New Roman" w:hAnsi="Times New Roman" w:cs="Times New Roman"/>
          <w:color w:val="555555"/>
          <w:sz w:val="24"/>
          <w:szCs w:val="24"/>
          <w:shd w:val="clear" w:color="auto" w:fill="FDE9D9" w:themeFill="accent6" w:themeFillTint="33"/>
        </w:rPr>
        <w:t xml:space="preserve">La BCE </w:t>
      </w:r>
      <w:r w:rsidRPr="00B27FEF">
        <w:rPr>
          <w:rFonts w:ascii="Times New Roman" w:hAnsi="Times New Roman" w:cs="Times New Roman"/>
          <w:color w:val="555555"/>
          <w:sz w:val="24"/>
          <w:szCs w:val="24"/>
          <w:shd w:val="clear" w:color="auto" w:fill="FDE9D9" w:themeFill="accent6" w:themeFillTint="33"/>
        </w:rPr>
        <w:t>avait ainsi baissé ses taux d’intérêt directeurs à des niveaux proches de zéro</w:t>
      </w:r>
      <w:r w:rsidR="00B27FEF">
        <w:rPr>
          <w:rFonts w:ascii="Times New Roman" w:hAnsi="Times New Roman" w:cs="Times New Roman"/>
          <w:color w:val="555555"/>
          <w:sz w:val="24"/>
          <w:szCs w:val="24"/>
        </w:rPr>
        <w:t xml:space="preserve">, l’un deux étant même fixé en </w:t>
      </w:r>
      <w:r w:rsidRPr="0035483A">
        <w:rPr>
          <w:rFonts w:ascii="Times New Roman" w:hAnsi="Times New Roman" w:cs="Times New Roman"/>
          <w:color w:val="555555"/>
          <w:sz w:val="24"/>
          <w:szCs w:val="24"/>
        </w:rPr>
        <w:t xml:space="preserve">territoire négatif, et elle avait lancé en mars 2015 un </w:t>
      </w:r>
      <w:r w:rsidRPr="00B27FEF">
        <w:rPr>
          <w:rFonts w:ascii="Times New Roman" w:hAnsi="Times New Roman" w:cs="Times New Roman"/>
          <w:color w:val="555555"/>
          <w:sz w:val="24"/>
          <w:szCs w:val="24"/>
          <w:shd w:val="clear" w:color="auto" w:fill="FDE9D9" w:themeFill="accent6" w:themeFillTint="33"/>
        </w:rPr>
        <w:t>vaste programme de r</w:t>
      </w:r>
      <w:r w:rsidR="00B27FEF" w:rsidRPr="00B27FEF">
        <w:rPr>
          <w:rFonts w:ascii="Times New Roman" w:hAnsi="Times New Roman" w:cs="Times New Roman"/>
          <w:color w:val="555555"/>
          <w:sz w:val="24"/>
          <w:szCs w:val="24"/>
          <w:shd w:val="clear" w:color="auto" w:fill="FDE9D9" w:themeFill="accent6" w:themeFillTint="33"/>
        </w:rPr>
        <w:t xml:space="preserve">achat d’actifs financiers de 60 </w:t>
      </w:r>
      <w:r w:rsidRPr="00B27FEF">
        <w:rPr>
          <w:rFonts w:ascii="Times New Roman" w:hAnsi="Times New Roman" w:cs="Times New Roman"/>
          <w:color w:val="555555"/>
          <w:sz w:val="24"/>
          <w:szCs w:val="24"/>
          <w:shd w:val="clear" w:color="auto" w:fill="FDE9D9" w:themeFill="accent6" w:themeFillTint="33"/>
        </w:rPr>
        <w:t>milliards d’euros mensuels</w:t>
      </w:r>
      <w:r w:rsidRPr="0035483A">
        <w:rPr>
          <w:rFonts w:ascii="Times New Roman" w:hAnsi="Times New Roman" w:cs="Times New Roman"/>
          <w:color w:val="555555"/>
          <w:sz w:val="24"/>
          <w:szCs w:val="24"/>
        </w:rPr>
        <w:t>. Lors de la réunion de décembre 2015, la BCE</w:t>
      </w:r>
      <w:r w:rsidR="00B27FEF">
        <w:rPr>
          <w:rFonts w:ascii="Times New Roman" w:hAnsi="Times New Roman" w:cs="Times New Roman"/>
          <w:color w:val="555555"/>
          <w:sz w:val="24"/>
          <w:szCs w:val="24"/>
        </w:rPr>
        <w:t xml:space="preserve"> avait déjà décidé de prolonger </w:t>
      </w:r>
      <w:r w:rsidRPr="0035483A">
        <w:rPr>
          <w:rFonts w:ascii="Times New Roman" w:hAnsi="Times New Roman" w:cs="Times New Roman"/>
          <w:color w:val="555555"/>
          <w:sz w:val="24"/>
          <w:szCs w:val="24"/>
        </w:rPr>
        <w:t>ce programme de rachat d’actifs, dont l’échéance était initialement prév</w:t>
      </w:r>
      <w:r w:rsidR="00B27FEF">
        <w:rPr>
          <w:rFonts w:ascii="Times New Roman" w:hAnsi="Times New Roman" w:cs="Times New Roman"/>
          <w:color w:val="555555"/>
          <w:sz w:val="24"/>
          <w:szCs w:val="24"/>
        </w:rPr>
        <w:t xml:space="preserve">ue pour septembre 2016, pour la </w:t>
      </w:r>
      <w:r w:rsidRPr="0035483A">
        <w:rPr>
          <w:rFonts w:ascii="Times New Roman" w:hAnsi="Times New Roman" w:cs="Times New Roman"/>
          <w:color w:val="555555"/>
          <w:sz w:val="24"/>
          <w:szCs w:val="24"/>
        </w:rPr>
        <w:t>reporter à mars 2017.</w:t>
      </w:r>
    </w:p>
    <w:p w14:paraId="581459AE" w14:textId="77777777" w:rsidR="00B27FEF" w:rsidRDefault="00B27FEF" w:rsidP="0035483A">
      <w:pPr>
        <w:autoSpaceDE w:val="0"/>
        <w:autoSpaceDN w:val="0"/>
        <w:adjustRightInd w:val="0"/>
        <w:spacing w:after="0" w:line="240" w:lineRule="auto"/>
        <w:rPr>
          <w:rFonts w:ascii="Times New Roman" w:hAnsi="Times New Roman" w:cs="Times New Roman"/>
          <w:color w:val="555555"/>
          <w:sz w:val="24"/>
          <w:szCs w:val="24"/>
        </w:rPr>
      </w:pPr>
    </w:p>
    <w:p w14:paraId="1FC13B62" w14:textId="77777777" w:rsidR="0035483A" w:rsidRPr="0035483A" w:rsidRDefault="0035483A" w:rsidP="00B27FEF">
      <w:pPr>
        <w:shd w:val="clear" w:color="auto" w:fill="FDE9D9" w:themeFill="accent6" w:themeFillTint="33"/>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Compte tenu de la faiblesse de la croissance et des prix en zone euro, le c</w:t>
      </w:r>
      <w:r w:rsidR="00B27FEF">
        <w:rPr>
          <w:rFonts w:ascii="Times New Roman" w:hAnsi="Times New Roman" w:cs="Times New Roman"/>
          <w:color w:val="555555"/>
          <w:sz w:val="24"/>
          <w:szCs w:val="24"/>
        </w:rPr>
        <w:t xml:space="preserve">onseil des gouverneurs a décidé </w:t>
      </w:r>
      <w:r w:rsidRPr="0035483A">
        <w:rPr>
          <w:rFonts w:ascii="Times New Roman" w:hAnsi="Times New Roman" w:cs="Times New Roman"/>
          <w:color w:val="555555"/>
          <w:sz w:val="24"/>
          <w:szCs w:val="24"/>
        </w:rPr>
        <w:t xml:space="preserve">de nouvelles mesures destinées à relancer l’activité et l’inflation. Ces </w:t>
      </w:r>
      <w:r w:rsidR="00B27FEF">
        <w:rPr>
          <w:rFonts w:ascii="Times New Roman" w:hAnsi="Times New Roman" w:cs="Times New Roman"/>
          <w:color w:val="555555"/>
          <w:sz w:val="24"/>
          <w:szCs w:val="24"/>
        </w:rPr>
        <w:t xml:space="preserve">nouvelles mesures concernent un </w:t>
      </w:r>
      <w:r w:rsidRPr="0035483A">
        <w:rPr>
          <w:rFonts w:ascii="Times New Roman" w:hAnsi="Times New Roman" w:cs="Times New Roman"/>
          <w:color w:val="555555"/>
          <w:sz w:val="24"/>
          <w:szCs w:val="24"/>
        </w:rPr>
        <w:t xml:space="preserve">accroissement de la taille du programme de rachat d’actifs (aussi dénommé « quantitative </w:t>
      </w:r>
      <w:proofErr w:type="spellStart"/>
      <w:r w:rsidRPr="0035483A">
        <w:rPr>
          <w:rFonts w:ascii="Times New Roman" w:hAnsi="Times New Roman" w:cs="Times New Roman"/>
          <w:color w:val="555555"/>
          <w:sz w:val="24"/>
          <w:szCs w:val="24"/>
        </w:rPr>
        <w:t>easing</w:t>
      </w:r>
      <w:proofErr w:type="spellEnd"/>
      <w:r w:rsidRPr="0035483A">
        <w:rPr>
          <w:rFonts w:ascii="Times New Roman" w:hAnsi="Times New Roman" w:cs="Times New Roman"/>
          <w:color w:val="555555"/>
          <w:sz w:val="24"/>
          <w:szCs w:val="24"/>
        </w:rPr>
        <w:t xml:space="preserve"> » ou</w:t>
      </w:r>
    </w:p>
    <w:p w14:paraId="530FE9E7" w14:textId="77777777" w:rsidR="0035483A" w:rsidRPr="0035483A" w:rsidRDefault="0035483A" w:rsidP="00B27FEF">
      <w:pPr>
        <w:shd w:val="clear" w:color="auto" w:fill="FDE9D9" w:themeFill="accent6" w:themeFillTint="33"/>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 QE »), un abaissement des taux directeurs et une relance d’un programme spécifique de refina</w:t>
      </w:r>
      <w:r w:rsidR="00B27FEF">
        <w:rPr>
          <w:rFonts w:ascii="Times New Roman" w:hAnsi="Times New Roman" w:cs="Times New Roman"/>
          <w:color w:val="555555"/>
          <w:sz w:val="24"/>
          <w:szCs w:val="24"/>
        </w:rPr>
        <w:t xml:space="preserve">ncement </w:t>
      </w:r>
      <w:r w:rsidRPr="0035483A">
        <w:rPr>
          <w:rFonts w:ascii="Times New Roman" w:hAnsi="Times New Roman" w:cs="Times New Roman"/>
          <w:color w:val="555555"/>
          <w:sz w:val="24"/>
          <w:szCs w:val="24"/>
        </w:rPr>
        <w:t>des banques européennes appelé TLTRO.</w:t>
      </w:r>
    </w:p>
    <w:p w14:paraId="248D31D0" w14:textId="77777777" w:rsidR="00B27FEF" w:rsidRDefault="00B27FEF" w:rsidP="0035483A">
      <w:pPr>
        <w:autoSpaceDE w:val="0"/>
        <w:autoSpaceDN w:val="0"/>
        <w:adjustRightInd w:val="0"/>
        <w:spacing w:after="0" w:line="240" w:lineRule="auto"/>
        <w:rPr>
          <w:rFonts w:ascii="Times New Roman" w:hAnsi="Times New Roman" w:cs="Times New Roman"/>
          <w:b/>
          <w:bCs/>
          <w:color w:val="9A9A9A"/>
          <w:sz w:val="24"/>
          <w:szCs w:val="24"/>
        </w:rPr>
      </w:pPr>
    </w:p>
    <w:p w14:paraId="57BCCBCF" w14:textId="77777777" w:rsidR="0035483A" w:rsidRDefault="0035483A" w:rsidP="0035483A">
      <w:pPr>
        <w:autoSpaceDE w:val="0"/>
        <w:autoSpaceDN w:val="0"/>
        <w:adjustRightInd w:val="0"/>
        <w:spacing w:after="0" w:line="240" w:lineRule="auto"/>
        <w:rPr>
          <w:rFonts w:ascii="Times New Roman" w:hAnsi="Times New Roman" w:cs="Times New Roman"/>
          <w:b/>
          <w:bCs/>
          <w:color w:val="9A9A9A"/>
          <w:sz w:val="24"/>
          <w:szCs w:val="24"/>
        </w:rPr>
      </w:pPr>
      <w:r w:rsidRPr="0035483A">
        <w:rPr>
          <w:rFonts w:ascii="Times New Roman" w:hAnsi="Times New Roman" w:cs="Times New Roman"/>
          <w:b/>
          <w:bCs/>
          <w:color w:val="9A9A9A"/>
          <w:sz w:val="24"/>
          <w:szCs w:val="24"/>
        </w:rPr>
        <w:t>Accroissement de la taille du programme de rachats d’actifs financiers</w:t>
      </w:r>
    </w:p>
    <w:p w14:paraId="00E3967A" w14:textId="77777777" w:rsidR="00B27FEF" w:rsidRPr="0035483A" w:rsidRDefault="00B27FEF" w:rsidP="0035483A">
      <w:pPr>
        <w:autoSpaceDE w:val="0"/>
        <w:autoSpaceDN w:val="0"/>
        <w:adjustRightInd w:val="0"/>
        <w:spacing w:after="0" w:line="240" w:lineRule="auto"/>
        <w:rPr>
          <w:rFonts w:ascii="Times New Roman" w:hAnsi="Times New Roman" w:cs="Times New Roman"/>
          <w:b/>
          <w:bCs/>
          <w:color w:val="9A9A9A"/>
          <w:sz w:val="24"/>
          <w:szCs w:val="24"/>
        </w:rPr>
      </w:pPr>
    </w:p>
    <w:p w14:paraId="3610645E" w14:textId="77777777" w:rsidR="0035483A" w:rsidRPr="0035483A" w:rsidRDefault="0035483A" w:rsidP="00B27FEF">
      <w:pPr>
        <w:shd w:val="clear" w:color="auto" w:fill="FDE9D9" w:themeFill="accent6" w:themeFillTint="33"/>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 xml:space="preserve">Mario </w:t>
      </w:r>
      <w:proofErr w:type="spellStart"/>
      <w:r w:rsidRPr="0035483A">
        <w:rPr>
          <w:rFonts w:ascii="Times New Roman" w:hAnsi="Times New Roman" w:cs="Times New Roman"/>
          <w:color w:val="555555"/>
          <w:sz w:val="24"/>
          <w:szCs w:val="24"/>
        </w:rPr>
        <w:t>Draghi</w:t>
      </w:r>
      <w:proofErr w:type="spellEnd"/>
      <w:r w:rsidRPr="0035483A">
        <w:rPr>
          <w:rFonts w:ascii="Times New Roman" w:hAnsi="Times New Roman" w:cs="Times New Roman"/>
          <w:color w:val="555555"/>
          <w:sz w:val="24"/>
          <w:szCs w:val="24"/>
        </w:rPr>
        <w:t xml:space="preserve"> a annoncé qu’à partir du mois d’avril 2016, la BCE allait p</w:t>
      </w:r>
      <w:r w:rsidR="00B27FEF">
        <w:rPr>
          <w:rFonts w:ascii="Times New Roman" w:hAnsi="Times New Roman" w:cs="Times New Roman"/>
          <w:color w:val="555555"/>
          <w:sz w:val="24"/>
          <w:szCs w:val="24"/>
        </w:rPr>
        <w:t xml:space="preserve">orter le montant de ses rachats </w:t>
      </w:r>
      <w:r w:rsidRPr="0035483A">
        <w:rPr>
          <w:rFonts w:ascii="Times New Roman" w:hAnsi="Times New Roman" w:cs="Times New Roman"/>
          <w:color w:val="555555"/>
          <w:sz w:val="24"/>
          <w:szCs w:val="24"/>
        </w:rPr>
        <w:t>mensuels de titres obligataires à 80 milliards d’euros, soit 20 milliards de plus qu’actuellement.</w:t>
      </w:r>
    </w:p>
    <w:p w14:paraId="2DE73DC5" w14:textId="77777777" w:rsidR="0035483A" w:rsidRDefault="0035483A" w:rsidP="00B27FEF">
      <w:pPr>
        <w:shd w:val="clear" w:color="auto" w:fill="FDE9D9" w:themeFill="accent6" w:themeFillTint="33"/>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 xml:space="preserve">En outre, le conseil des gouverneurs a décidé d’élargir </w:t>
      </w:r>
      <w:r w:rsidRPr="00B27FEF">
        <w:rPr>
          <w:rFonts w:ascii="Times New Roman" w:hAnsi="Times New Roman" w:cs="Times New Roman"/>
          <w:color w:val="555555"/>
          <w:sz w:val="24"/>
          <w:szCs w:val="24"/>
          <w:u w:val="single"/>
        </w:rPr>
        <w:t>le champ de son pr</w:t>
      </w:r>
      <w:r w:rsidR="00B27FEF" w:rsidRPr="00B27FEF">
        <w:rPr>
          <w:rFonts w:ascii="Times New Roman" w:hAnsi="Times New Roman" w:cs="Times New Roman"/>
          <w:color w:val="555555"/>
          <w:sz w:val="24"/>
          <w:szCs w:val="24"/>
          <w:u w:val="single"/>
        </w:rPr>
        <w:t xml:space="preserve">ogramme aux titres obligataires </w:t>
      </w:r>
      <w:r w:rsidRPr="00B27FEF">
        <w:rPr>
          <w:rFonts w:ascii="Times New Roman" w:hAnsi="Times New Roman" w:cs="Times New Roman"/>
          <w:color w:val="555555"/>
          <w:sz w:val="24"/>
          <w:szCs w:val="24"/>
          <w:u w:val="single"/>
        </w:rPr>
        <w:t>émis par les entreprises non financières européennes bénéficia</w:t>
      </w:r>
      <w:r w:rsidR="00B27FEF" w:rsidRPr="00B27FEF">
        <w:rPr>
          <w:rFonts w:ascii="Times New Roman" w:hAnsi="Times New Roman" w:cs="Times New Roman"/>
          <w:color w:val="555555"/>
          <w:sz w:val="24"/>
          <w:szCs w:val="24"/>
          <w:u w:val="single"/>
        </w:rPr>
        <w:t xml:space="preserve">nt de la meilleure notation des agences de </w:t>
      </w:r>
      <w:r w:rsidRPr="00B27FEF">
        <w:rPr>
          <w:rFonts w:ascii="Times New Roman" w:hAnsi="Times New Roman" w:cs="Times New Roman"/>
          <w:color w:val="555555"/>
          <w:sz w:val="24"/>
          <w:szCs w:val="24"/>
          <w:u w:val="single"/>
        </w:rPr>
        <w:t>rating</w:t>
      </w:r>
      <w:r w:rsidR="00B27FEF" w:rsidRPr="00B27FEF">
        <w:rPr>
          <w:rFonts w:ascii="Times New Roman" w:hAnsi="Times New Roman" w:cs="Times New Roman"/>
          <w:color w:val="555555"/>
          <w:sz w:val="24"/>
          <w:szCs w:val="24"/>
          <w:u w:val="single"/>
        </w:rPr>
        <w:t xml:space="preserve"> </w:t>
      </w:r>
      <w:r w:rsidRPr="00B27FEF">
        <w:rPr>
          <w:rFonts w:ascii="Times New Roman" w:hAnsi="Times New Roman" w:cs="Times New Roman"/>
          <w:color w:val="555555"/>
          <w:sz w:val="24"/>
          <w:szCs w:val="24"/>
          <w:u w:val="single"/>
        </w:rPr>
        <w:t>à partir du deuxième semestre 2016,</w:t>
      </w:r>
      <w:r w:rsidRPr="0035483A">
        <w:rPr>
          <w:rFonts w:ascii="Times New Roman" w:hAnsi="Times New Roman" w:cs="Times New Roman"/>
          <w:color w:val="555555"/>
          <w:sz w:val="24"/>
          <w:szCs w:val="24"/>
        </w:rPr>
        <w:t xml:space="preserve"> alors que jusqu’à présent, seu</w:t>
      </w:r>
      <w:r w:rsidR="00B27FEF">
        <w:rPr>
          <w:rFonts w:ascii="Times New Roman" w:hAnsi="Times New Roman" w:cs="Times New Roman"/>
          <w:color w:val="555555"/>
          <w:sz w:val="24"/>
          <w:szCs w:val="24"/>
        </w:rPr>
        <w:t xml:space="preserve">les les obligations souveraines </w:t>
      </w:r>
      <w:r w:rsidRPr="0035483A">
        <w:rPr>
          <w:rFonts w:ascii="Times New Roman" w:hAnsi="Times New Roman" w:cs="Times New Roman"/>
          <w:color w:val="555555"/>
          <w:sz w:val="24"/>
          <w:szCs w:val="24"/>
        </w:rPr>
        <w:t>ou celles émises par les institutions européennes ou les banques mu</w:t>
      </w:r>
      <w:r w:rsidR="00B27FEF">
        <w:rPr>
          <w:rFonts w:ascii="Times New Roman" w:hAnsi="Times New Roman" w:cs="Times New Roman"/>
          <w:color w:val="555555"/>
          <w:sz w:val="24"/>
          <w:szCs w:val="24"/>
        </w:rPr>
        <w:t xml:space="preserve">ltilatérales de développement y </w:t>
      </w:r>
      <w:r w:rsidRPr="0035483A">
        <w:rPr>
          <w:rFonts w:ascii="Times New Roman" w:hAnsi="Times New Roman" w:cs="Times New Roman"/>
          <w:color w:val="555555"/>
          <w:sz w:val="24"/>
          <w:szCs w:val="24"/>
        </w:rPr>
        <w:t>étaient éligibles.</w:t>
      </w:r>
    </w:p>
    <w:p w14:paraId="1B3988C8" w14:textId="77777777" w:rsidR="00B27FEF" w:rsidRPr="0035483A" w:rsidRDefault="00B27FEF" w:rsidP="00B27FEF">
      <w:pPr>
        <w:shd w:val="clear" w:color="auto" w:fill="FDE9D9" w:themeFill="accent6" w:themeFillTint="33"/>
        <w:autoSpaceDE w:val="0"/>
        <w:autoSpaceDN w:val="0"/>
        <w:adjustRightInd w:val="0"/>
        <w:spacing w:after="0" w:line="240" w:lineRule="auto"/>
        <w:rPr>
          <w:rFonts w:ascii="Times New Roman" w:hAnsi="Times New Roman" w:cs="Times New Roman"/>
          <w:color w:val="555555"/>
          <w:sz w:val="24"/>
          <w:szCs w:val="24"/>
        </w:rPr>
      </w:pPr>
    </w:p>
    <w:p w14:paraId="09412ECF" w14:textId="77777777" w:rsidR="00B27FEF" w:rsidRDefault="00B27FEF" w:rsidP="0035483A">
      <w:pPr>
        <w:autoSpaceDE w:val="0"/>
        <w:autoSpaceDN w:val="0"/>
        <w:adjustRightInd w:val="0"/>
        <w:spacing w:after="0" w:line="240" w:lineRule="auto"/>
        <w:rPr>
          <w:rFonts w:ascii="Times New Roman" w:hAnsi="Times New Roman" w:cs="Times New Roman"/>
          <w:b/>
          <w:bCs/>
          <w:color w:val="9A9A9A"/>
          <w:sz w:val="24"/>
          <w:szCs w:val="24"/>
        </w:rPr>
      </w:pPr>
    </w:p>
    <w:p w14:paraId="24AD7FFC" w14:textId="77777777" w:rsidR="0035483A" w:rsidRDefault="0035483A" w:rsidP="0035483A">
      <w:pPr>
        <w:autoSpaceDE w:val="0"/>
        <w:autoSpaceDN w:val="0"/>
        <w:adjustRightInd w:val="0"/>
        <w:spacing w:after="0" w:line="240" w:lineRule="auto"/>
        <w:rPr>
          <w:rFonts w:ascii="Times New Roman" w:hAnsi="Times New Roman" w:cs="Times New Roman"/>
          <w:b/>
          <w:bCs/>
          <w:color w:val="9A9A9A"/>
          <w:sz w:val="24"/>
          <w:szCs w:val="24"/>
        </w:rPr>
      </w:pPr>
      <w:r w:rsidRPr="0035483A">
        <w:rPr>
          <w:rFonts w:ascii="Times New Roman" w:hAnsi="Times New Roman" w:cs="Times New Roman"/>
          <w:b/>
          <w:bCs/>
          <w:color w:val="9A9A9A"/>
          <w:sz w:val="24"/>
          <w:szCs w:val="24"/>
        </w:rPr>
        <w:t>Une nouvelle baisse des taux directeurs</w:t>
      </w:r>
    </w:p>
    <w:p w14:paraId="2F13B6A6" w14:textId="77777777" w:rsidR="00B27FEF" w:rsidRPr="0035483A" w:rsidRDefault="00B27FEF" w:rsidP="0035483A">
      <w:pPr>
        <w:autoSpaceDE w:val="0"/>
        <w:autoSpaceDN w:val="0"/>
        <w:adjustRightInd w:val="0"/>
        <w:spacing w:after="0" w:line="240" w:lineRule="auto"/>
        <w:rPr>
          <w:rFonts w:ascii="Times New Roman" w:hAnsi="Times New Roman" w:cs="Times New Roman"/>
          <w:b/>
          <w:bCs/>
          <w:color w:val="9A9A9A"/>
          <w:sz w:val="24"/>
          <w:szCs w:val="24"/>
        </w:rPr>
      </w:pPr>
    </w:p>
    <w:p w14:paraId="2252B874"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En plus du renforcement de son programme de rachat d’actifs financiers, le conseil des gouverneurs de la</w:t>
      </w:r>
    </w:p>
    <w:p w14:paraId="5A7AEBD1"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B27FEF">
        <w:rPr>
          <w:rFonts w:ascii="Times New Roman" w:hAnsi="Times New Roman" w:cs="Times New Roman"/>
          <w:color w:val="555555"/>
          <w:sz w:val="24"/>
          <w:szCs w:val="24"/>
          <w:u w:val="single"/>
          <w:shd w:val="clear" w:color="auto" w:fill="FDE9D9" w:themeFill="accent6" w:themeFillTint="33"/>
        </w:rPr>
        <w:t>BCE a décidé de baisser son principal taux directeur, le taux de refinancement</w:t>
      </w:r>
      <w:r w:rsidR="00B27FEF">
        <w:rPr>
          <w:rFonts w:ascii="Times New Roman" w:hAnsi="Times New Roman" w:cs="Times New Roman"/>
          <w:color w:val="555555"/>
          <w:sz w:val="24"/>
          <w:szCs w:val="24"/>
        </w:rPr>
        <w:t xml:space="preserve"> auquel les banques </w:t>
      </w:r>
      <w:r w:rsidRPr="0035483A">
        <w:rPr>
          <w:rFonts w:ascii="Times New Roman" w:hAnsi="Times New Roman" w:cs="Times New Roman"/>
          <w:color w:val="555555"/>
          <w:sz w:val="24"/>
          <w:szCs w:val="24"/>
        </w:rPr>
        <w:t>commerciales peuvent obtenir des liquidités gagées sur des titres ou cré</w:t>
      </w:r>
      <w:r w:rsidR="00B27FEF">
        <w:rPr>
          <w:rFonts w:ascii="Times New Roman" w:hAnsi="Times New Roman" w:cs="Times New Roman"/>
          <w:color w:val="555555"/>
          <w:sz w:val="24"/>
          <w:szCs w:val="24"/>
        </w:rPr>
        <w:t xml:space="preserve">ances de bonne qualité, pour le </w:t>
      </w:r>
      <w:r w:rsidRPr="0035483A">
        <w:rPr>
          <w:rFonts w:ascii="Times New Roman" w:hAnsi="Times New Roman" w:cs="Times New Roman"/>
          <w:color w:val="555555"/>
          <w:sz w:val="24"/>
          <w:szCs w:val="24"/>
        </w:rPr>
        <w:t>porter à 0 contre 0,05 % depuis décembre 2014.</w:t>
      </w:r>
    </w:p>
    <w:p w14:paraId="38B59B2D"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 xml:space="preserve">Par ailleurs, </w:t>
      </w:r>
      <w:r w:rsidRPr="00B27FEF">
        <w:rPr>
          <w:rFonts w:ascii="Times New Roman" w:hAnsi="Times New Roman" w:cs="Times New Roman"/>
          <w:color w:val="555555"/>
          <w:sz w:val="24"/>
          <w:szCs w:val="24"/>
          <w:u w:val="single"/>
          <w:shd w:val="clear" w:color="auto" w:fill="FDE9D9" w:themeFill="accent6" w:themeFillTint="33"/>
        </w:rPr>
        <w:t>le taux de prêt marginal, qui est celui auquel la BCE prête au</w:t>
      </w:r>
      <w:r w:rsidR="00B27FEF" w:rsidRPr="00B27FEF">
        <w:rPr>
          <w:rFonts w:ascii="Times New Roman" w:hAnsi="Times New Roman" w:cs="Times New Roman"/>
          <w:color w:val="555555"/>
          <w:sz w:val="24"/>
          <w:szCs w:val="24"/>
          <w:u w:val="single"/>
          <w:shd w:val="clear" w:color="auto" w:fill="FDE9D9" w:themeFill="accent6" w:themeFillTint="33"/>
        </w:rPr>
        <w:t xml:space="preserve">x banques en dehors du cadre de </w:t>
      </w:r>
      <w:r w:rsidRPr="00B27FEF">
        <w:rPr>
          <w:rFonts w:ascii="Times New Roman" w:hAnsi="Times New Roman" w:cs="Times New Roman"/>
          <w:color w:val="555555"/>
          <w:sz w:val="24"/>
          <w:szCs w:val="24"/>
          <w:u w:val="single"/>
          <w:shd w:val="clear" w:color="auto" w:fill="FDE9D9" w:themeFill="accent6" w:themeFillTint="33"/>
        </w:rPr>
        <w:t>ses adjudications mensuelles, est également abaissé de 0,05 points de pou</w:t>
      </w:r>
      <w:r w:rsidR="00B27FEF" w:rsidRPr="00B27FEF">
        <w:rPr>
          <w:rFonts w:ascii="Times New Roman" w:hAnsi="Times New Roman" w:cs="Times New Roman"/>
          <w:color w:val="555555"/>
          <w:sz w:val="24"/>
          <w:szCs w:val="24"/>
          <w:u w:val="single"/>
          <w:shd w:val="clear" w:color="auto" w:fill="FDE9D9" w:themeFill="accent6" w:themeFillTint="33"/>
        </w:rPr>
        <w:t>rcentage à 0,25 %</w:t>
      </w:r>
      <w:r w:rsidR="00B27FEF">
        <w:rPr>
          <w:rFonts w:ascii="Times New Roman" w:hAnsi="Times New Roman" w:cs="Times New Roman"/>
          <w:color w:val="555555"/>
          <w:sz w:val="24"/>
          <w:szCs w:val="24"/>
        </w:rPr>
        <w:t xml:space="preserve"> et </w:t>
      </w:r>
      <w:r w:rsidR="00B27FEF" w:rsidRPr="00B27FEF">
        <w:rPr>
          <w:rFonts w:ascii="Times New Roman" w:hAnsi="Times New Roman" w:cs="Times New Roman"/>
          <w:color w:val="555555"/>
          <w:sz w:val="24"/>
          <w:szCs w:val="24"/>
          <w:u w:val="single"/>
          <w:shd w:val="clear" w:color="auto" w:fill="FDE9D9" w:themeFill="accent6" w:themeFillTint="33"/>
        </w:rPr>
        <w:t xml:space="preserve">le taux de </w:t>
      </w:r>
      <w:r w:rsidRPr="00B27FEF">
        <w:rPr>
          <w:rFonts w:ascii="Times New Roman" w:hAnsi="Times New Roman" w:cs="Times New Roman"/>
          <w:color w:val="555555"/>
          <w:sz w:val="24"/>
          <w:szCs w:val="24"/>
          <w:u w:val="single"/>
          <w:shd w:val="clear" w:color="auto" w:fill="FDE9D9" w:themeFill="accent6" w:themeFillTint="33"/>
        </w:rPr>
        <w:t>dépôt, qui rémunère les liquidités que les banques commerciales dé</w:t>
      </w:r>
      <w:r w:rsidR="00B27FEF" w:rsidRPr="00B27FEF">
        <w:rPr>
          <w:rFonts w:ascii="Times New Roman" w:hAnsi="Times New Roman" w:cs="Times New Roman"/>
          <w:color w:val="555555"/>
          <w:sz w:val="24"/>
          <w:szCs w:val="24"/>
          <w:u w:val="single"/>
          <w:shd w:val="clear" w:color="auto" w:fill="FDE9D9" w:themeFill="accent6" w:themeFillTint="33"/>
        </w:rPr>
        <w:t xml:space="preserve">posent à la BCE, est réduit une </w:t>
      </w:r>
      <w:r w:rsidRPr="00B27FEF">
        <w:rPr>
          <w:rFonts w:ascii="Times New Roman" w:hAnsi="Times New Roman" w:cs="Times New Roman"/>
          <w:color w:val="555555"/>
          <w:sz w:val="24"/>
          <w:szCs w:val="24"/>
          <w:u w:val="single"/>
          <w:shd w:val="clear" w:color="auto" w:fill="FDE9D9" w:themeFill="accent6" w:themeFillTint="33"/>
        </w:rPr>
        <w:t xml:space="preserve">nouvelle </w:t>
      </w:r>
      <w:r w:rsidRPr="00B27FEF">
        <w:rPr>
          <w:rFonts w:ascii="Times New Roman" w:hAnsi="Times New Roman" w:cs="Times New Roman"/>
          <w:color w:val="555555"/>
          <w:sz w:val="24"/>
          <w:szCs w:val="24"/>
          <w:u w:val="single"/>
          <w:shd w:val="clear" w:color="auto" w:fill="FDE9D9" w:themeFill="accent6" w:themeFillTint="33"/>
        </w:rPr>
        <w:lastRenderedPageBreak/>
        <w:t>fois de 0,1 point de pourcentage à – 0,4 % par an</w:t>
      </w:r>
      <w:r w:rsidRPr="00B27FEF">
        <w:rPr>
          <w:rFonts w:ascii="Times New Roman" w:hAnsi="Times New Roman" w:cs="Times New Roman"/>
          <w:color w:val="555555"/>
          <w:sz w:val="24"/>
          <w:szCs w:val="24"/>
          <w:shd w:val="clear" w:color="auto" w:fill="FDE9D9" w:themeFill="accent6" w:themeFillTint="33"/>
        </w:rPr>
        <w:t>.</w:t>
      </w:r>
      <w:r w:rsidRPr="0035483A">
        <w:rPr>
          <w:rFonts w:ascii="Times New Roman" w:hAnsi="Times New Roman" w:cs="Times New Roman"/>
          <w:color w:val="555555"/>
          <w:sz w:val="24"/>
          <w:szCs w:val="24"/>
        </w:rPr>
        <w:t xml:space="preserve"> Mario </w:t>
      </w:r>
      <w:proofErr w:type="spellStart"/>
      <w:r w:rsidR="00B27FEF">
        <w:rPr>
          <w:rFonts w:ascii="Times New Roman" w:hAnsi="Times New Roman" w:cs="Times New Roman"/>
          <w:color w:val="555555"/>
          <w:sz w:val="24"/>
          <w:szCs w:val="24"/>
        </w:rPr>
        <w:t>Draghi</w:t>
      </w:r>
      <w:proofErr w:type="spellEnd"/>
      <w:r w:rsidR="00B27FEF">
        <w:rPr>
          <w:rFonts w:ascii="Times New Roman" w:hAnsi="Times New Roman" w:cs="Times New Roman"/>
          <w:color w:val="555555"/>
          <w:sz w:val="24"/>
          <w:szCs w:val="24"/>
        </w:rPr>
        <w:t xml:space="preserve"> a toutefois précisé que, </w:t>
      </w:r>
      <w:r w:rsidRPr="0035483A">
        <w:rPr>
          <w:rFonts w:ascii="Times New Roman" w:hAnsi="Times New Roman" w:cs="Times New Roman"/>
          <w:color w:val="555555"/>
          <w:sz w:val="24"/>
          <w:szCs w:val="24"/>
        </w:rPr>
        <w:t>concernant ce dernier taux, la BCE n’envisageait plus de le baisser à l’avenir.</w:t>
      </w:r>
    </w:p>
    <w:p w14:paraId="2A0ED68E" w14:textId="77777777" w:rsidR="00B27FEF" w:rsidRDefault="00B27FEF" w:rsidP="0035483A">
      <w:pPr>
        <w:autoSpaceDE w:val="0"/>
        <w:autoSpaceDN w:val="0"/>
        <w:adjustRightInd w:val="0"/>
        <w:spacing w:after="0" w:line="240" w:lineRule="auto"/>
        <w:rPr>
          <w:rFonts w:ascii="Times New Roman" w:hAnsi="Times New Roman" w:cs="Times New Roman"/>
          <w:b/>
          <w:bCs/>
          <w:color w:val="9A9A9A"/>
          <w:sz w:val="24"/>
          <w:szCs w:val="24"/>
        </w:rPr>
      </w:pPr>
    </w:p>
    <w:p w14:paraId="1649CAD3" w14:textId="77777777" w:rsidR="00B27FEF" w:rsidRDefault="00B27FEF" w:rsidP="0035483A">
      <w:pPr>
        <w:autoSpaceDE w:val="0"/>
        <w:autoSpaceDN w:val="0"/>
        <w:adjustRightInd w:val="0"/>
        <w:spacing w:after="0" w:line="240" w:lineRule="auto"/>
        <w:rPr>
          <w:rFonts w:ascii="Times New Roman" w:hAnsi="Times New Roman" w:cs="Times New Roman"/>
          <w:b/>
          <w:bCs/>
          <w:color w:val="9A9A9A"/>
          <w:sz w:val="24"/>
          <w:szCs w:val="24"/>
        </w:rPr>
      </w:pPr>
    </w:p>
    <w:p w14:paraId="27F6ADD6" w14:textId="77777777" w:rsidR="00B27FEF" w:rsidRDefault="00B27FEF" w:rsidP="0035483A">
      <w:pPr>
        <w:autoSpaceDE w:val="0"/>
        <w:autoSpaceDN w:val="0"/>
        <w:adjustRightInd w:val="0"/>
        <w:spacing w:after="0" w:line="240" w:lineRule="auto"/>
        <w:rPr>
          <w:rFonts w:ascii="Times New Roman" w:hAnsi="Times New Roman" w:cs="Times New Roman"/>
          <w:b/>
          <w:bCs/>
          <w:color w:val="9A9A9A"/>
          <w:sz w:val="24"/>
          <w:szCs w:val="24"/>
        </w:rPr>
      </w:pPr>
    </w:p>
    <w:p w14:paraId="3D77B286" w14:textId="77777777" w:rsidR="00B27FEF" w:rsidRDefault="00B27FEF" w:rsidP="0035483A">
      <w:pPr>
        <w:autoSpaceDE w:val="0"/>
        <w:autoSpaceDN w:val="0"/>
        <w:adjustRightInd w:val="0"/>
        <w:spacing w:after="0" w:line="240" w:lineRule="auto"/>
        <w:rPr>
          <w:rFonts w:ascii="Times New Roman" w:hAnsi="Times New Roman" w:cs="Times New Roman"/>
          <w:b/>
          <w:bCs/>
          <w:color w:val="9A9A9A"/>
          <w:sz w:val="24"/>
          <w:szCs w:val="24"/>
        </w:rPr>
      </w:pPr>
    </w:p>
    <w:p w14:paraId="340898F8" w14:textId="77777777" w:rsidR="0035483A" w:rsidRDefault="0035483A" w:rsidP="0035483A">
      <w:pPr>
        <w:autoSpaceDE w:val="0"/>
        <w:autoSpaceDN w:val="0"/>
        <w:adjustRightInd w:val="0"/>
        <w:spacing w:after="0" w:line="240" w:lineRule="auto"/>
        <w:rPr>
          <w:rFonts w:ascii="Times New Roman" w:hAnsi="Times New Roman" w:cs="Times New Roman"/>
          <w:b/>
          <w:bCs/>
          <w:color w:val="9A9A9A"/>
          <w:sz w:val="24"/>
          <w:szCs w:val="24"/>
        </w:rPr>
      </w:pPr>
      <w:r w:rsidRPr="0035483A">
        <w:rPr>
          <w:rFonts w:ascii="Times New Roman" w:hAnsi="Times New Roman" w:cs="Times New Roman"/>
          <w:b/>
          <w:bCs/>
          <w:color w:val="9A9A9A"/>
          <w:sz w:val="24"/>
          <w:szCs w:val="24"/>
        </w:rPr>
        <w:t>Une relance du programme TLTRO</w:t>
      </w:r>
    </w:p>
    <w:p w14:paraId="48E13736" w14:textId="77777777" w:rsidR="00B27FEF" w:rsidRPr="0035483A" w:rsidRDefault="00B27FEF" w:rsidP="0035483A">
      <w:pPr>
        <w:autoSpaceDE w:val="0"/>
        <w:autoSpaceDN w:val="0"/>
        <w:adjustRightInd w:val="0"/>
        <w:spacing w:after="0" w:line="240" w:lineRule="auto"/>
        <w:rPr>
          <w:rFonts w:ascii="Times New Roman" w:hAnsi="Times New Roman" w:cs="Times New Roman"/>
          <w:b/>
          <w:bCs/>
          <w:color w:val="9A9A9A"/>
          <w:sz w:val="24"/>
          <w:szCs w:val="24"/>
        </w:rPr>
      </w:pPr>
    </w:p>
    <w:p w14:paraId="030FF9A6" w14:textId="77777777" w:rsidR="0035483A" w:rsidRPr="0035483A" w:rsidRDefault="0035483A" w:rsidP="006C57B5">
      <w:pPr>
        <w:shd w:val="clear" w:color="auto" w:fill="FDE9D9" w:themeFill="accent6" w:themeFillTint="33"/>
        <w:autoSpaceDE w:val="0"/>
        <w:autoSpaceDN w:val="0"/>
        <w:adjustRightInd w:val="0"/>
        <w:spacing w:after="0" w:line="240" w:lineRule="auto"/>
        <w:rPr>
          <w:rFonts w:ascii="Times New Roman" w:hAnsi="Times New Roman" w:cs="Times New Roman"/>
          <w:i/>
          <w:iCs/>
          <w:color w:val="555555"/>
          <w:sz w:val="24"/>
          <w:szCs w:val="24"/>
        </w:rPr>
      </w:pPr>
      <w:r w:rsidRPr="0035483A">
        <w:rPr>
          <w:rFonts w:ascii="Times New Roman" w:hAnsi="Times New Roman" w:cs="Times New Roman"/>
          <w:color w:val="555555"/>
          <w:sz w:val="24"/>
          <w:szCs w:val="24"/>
        </w:rPr>
        <w:t xml:space="preserve">Enfin, le conseil des gouverneurs a décidé de relancer un nouveau programme « </w:t>
      </w:r>
      <w:proofErr w:type="spellStart"/>
      <w:r w:rsidRPr="0035483A">
        <w:rPr>
          <w:rFonts w:ascii="Times New Roman" w:hAnsi="Times New Roman" w:cs="Times New Roman"/>
          <w:i/>
          <w:iCs/>
          <w:color w:val="555555"/>
          <w:sz w:val="24"/>
          <w:szCs w:val="24"/>
        </w:rPr>
        <w:t>Targeted</w:t>
      </w:r>
      <w:proofErr w:type="spellEnd"/>
      <w:r w:rsidRPr="0035483A">
        <w:rPr>
          <w:rFonts w:ascii="Times New Roman" w:hAnsi="Times New Roman" w:cs="Times New Roman"/>
          <w:i/>
          <w:iCs/>
          <w:color w:val="555555"/>
          <w:sz w:val="24"/>
          <w:szCs w:val="24"/>
        </w:rPr>
        <w:t xml:space="preserve"> Longer </w:t>
      </w:r>
      <w:proofErr w:type="spellStart"/>
      <w:r w:rsidRPr="0035483A">
        <w:rPr>
          <w:rFonts w:ascii="Times New Roman" w:hAnsi="Times New Roman" w:cs="Times New Roman"/>
          <w:i/>
          <w:iCs/>
          <w:color w:val="555555"/>
          <w:sz w:val="24"/>
          <w:szCs w:val="24"/>
        </w:rPr>
        <w:t>Term</w:t>
      </w:r>
      <w:proofErr w:type="spellEnd"/>
    </w:p>
    <w:p w14:paraId="16E8FF6B" w14:textId="77777777" w:rsidR="0035483A" w:rsidRPr="0035483A" w:rsidRDefault="0035483A" w:rsidP="006C57B5">
      <w:pPr>
        <w:shd w:val="clear" w:color="auto" w:fill="FDE9D9" w:themeFill="accent6" w:themeFillTint="33"/>
        <w:autoSpaceDE w:val="0"/>
        <w:autoSpaceDN w:val="0"/>
        <w:adjustRightInd w:val="0"/>
        <w:spacing w:after="0" w:line="240" w:lineRule="auto"/>
        <w:rPr>
          <w:rFonts w:ascii="Times New Roman" w:hAnsi="Times New Roman" w:cs="Times New Roman"/>
          <w:color w:val="555555"/>
          <w:sz w:val="24"/>
          <w:szCs w:val="24"/>
        </w:rPr>
      </w:pPr>
      <w:proofErr w:type="spellStart"/>
      <w:r w:rsidRPr="0035483A">
        <w:rPr>
          <w:rFonts w:ascii="Times New Roman" w:hAnsi="Times New Roman" w:cs="Times New Roman"/>
          <w:i/>
          <w:iCs/>
          <w:color w:val="555555"/>
          <w:sz w:val="24"/>
          <w:szCs w:val="24"/>
        </w:rPr>
        <w:t>Refinancing</w:t>
      </w:r>
      <w:proofErr w:type="spellEnd"/>
      <w:r w:rsidRPr="0035483A">
        <w:rPr>
          <w:rFonts w:ascii="Times New Roman" w:hAnsi="Times New Roman" w:cs="Times New Roman"/>
          <w:i/>
          <w:iCs/>
          <w:color w:val="555555"/>
          <w:sz w:val="24"/>
          <w:szCs w:val="24"/>
        </w:rPr>
        <w:t xml:space="preserve"> Operations </w:t>
      </w:r>
      <w:r w:rsidRPr="0035483A">
        <w:rPr>
          <w:rFonts w:ascii="Times New Roman" w:hAnsi="Times New Roman" w:cs="Times New Roman"/>
          <w:color w:val="555555"/>
          <w:sz w:val="24"/>
          <w:szCs w:val="24"/>
        </w:rPr>
        <w:t>» qui a pour objectif de de renforcer l'activité de p</w:t>
      </w:r>
      <w:r w:rsidR="006C57B5">
        <w:rPr>
          <w:rFonts w:ascii="Times New Roman" w:hAnsi="Times New Roman" w:cs="Times New Roman"/>
          <w:color w:val="555555"/>
          <w:sz w:val="24"/>
          <w:szCs w:val="24"/>
        </w:rPr>
        <w:t xml:space="preserve">rêts bancaires au secteur privé </w:t>
      </w:r>
      <w:r w:rsidRPr="0035483A">
        <w:rPr>
          <w:rFonts w:ascii="Times New Roman" w:hAnsi="Times New Roman" w:cs="Times New Roman"/>
          <w:color w:val="555555"/>
          <w:sz w:val="24"/>
          <w:szCs w:val="24"/>
        </w:rPr>
        <w:t>non financier de la zone euro via la fourniture aux banques de prêts à pl</w:t>
      </w:r>
      <w:r w:rsidR="006C57B5">
        <w:rPr>
          <w:rFonts w:ascii="Times New Roman" w:hAnsi="Times New Roman" w:cs="Times New Roman"/>
          <w:color w:val="555555"/>
          <w:sz w:val="24"/>
          <w:szCs w:val="24"/>
        </w:rPr>
        <w:t xml:space="preserve">us long terme que ceux octroyés </w:t>
      </w:r>
      <w:r w:rsidRPr="0035483A">
        <w:rPr>
          <w:rFonts w:ascii="Times New Roman" w:hAnsi="Times New Roman" w:cs="Times New Roman"/>
          <w:color w:val="555555"/>
          <w:sz w:val="24"/>
          <w:szCs w:val="24"/>
        </w:rPr>
        <w:t>selon les procédures habituelles de refinancement.</w:t>
      </w:r>
    </w:p>
    <w:p w14:paraId="039B6280"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Le premier programme TLTRO, qui avait été initié en 2014, arrive à son t</w:t>
      </w:r>
      <w:r w:rsidR="006C57B5">
        <w:rPr>
          <w:rFonts w:ascii="Times New Roman" w:hAnsi="Times New Roman" w:cs="Times New Roman"/>
          <w:color w:val="555555"/>
          <w:sz w:val="24"/>
          <w:szCs w:val="24"/>
        </w:rPr>
        <w:t xml:space="preserve">erme en juin 2016. A compter du </w:t>
      </w:r>
      <w:r w:rsidRPr="0035483A">
        <w:rPr>
          <w:rFonts w:ascii="Times New Roman" w:hAnsi="Times New Roman" w:cs="Times New Roman"/>
          <w:color w:val="555555"/>
          <w:sz w:val="24"/>
          <w:szCs w:val="24"/>
        </w:rPr>
        <w:t xml:space="preserve">second semestre 2016, un nouveau TLTRO lui succèdera jusqu’en </w:t>
      </w:r>
      <w:r w:rsidR="006C57B5">
        <w:rPr>
          <w:rFonts w:ascii="Times New Roman" w:hAnsi="Times New Roman" w:cs="Times New Roman"/>
          <w:color w:val="555555"/>
          <w:sz w:val="24"/>
          <w:szCs w:val="24"/>
        </w:rPr>
        <w:t xml:space="preserve">mars 2017. Les prêts que la BCE </w:t>
      </w:r>
      <w:r w:rsidRPr="0035483A">
        <w:rPr>
          <w:rFonts w:ascii="Times New Roman" w:hAnsi="Times New Roman" w:cs="Times New Roman"/>
          <w:color w:val="555555"/>
          <w:sz w:val="24"/>
          <w:szCs w:val="24"/>
        </w:rPr>
        <w:t>accordera aux banques européennes dans ce cadre le seront sur une pér</w:t>
      </w:r>
      <w:r w:rsidR="006C57B5">
        <w:rPr>
          <w:rFonts w:ascii="Times New Roman" w:hAnsi="Times New Roman" w:cs="Times New Roman"/>
          <w:color w:val="555555"/>
          <w:sz w:val="24"/>
          <w:szCs w:val="24"/>
        </w:rPr>
        <w:t xml:space="preserve">iode de 4 ans à un taux égal au </w:t>
      </w:r>
      <w:r w:rsidRPr="0035483A">
        <w:rPr>
          <w:rFonts w:ascii="Times New Roman" w:hAnsi="Times New Roman" w:cs="Times New Roman"/>
          <w:color w:val="555555"/>
          <w:sz w:val="24"/>
          <w:szCs w:val="24"/>
        </w:rPr>
        <w:t>taux de refinancement principal (0 % à partir d’avril 2016), avec éventuellem</w:t>
      </w:r>
      <w:r w:rsidR="006C57B5">
        <w:rPr>
          <w:rFonts w:ascii="Times New Roman" w:hAnsi="Times New Roman" w:cs="Times New Roman"/>
          <w:color w:val="555555"/>
          <w:sz w:val="24"/>
          <w:szCs w:val="24"/>
        </w:rPr>
        <w:t xml:space="preserve">ent une réduction le portant au </w:t>
      </w:r>
      <w:r w:rsidRPr="0035483A">
        <w:rPr>
          <w:rFonts w:ascii="Times New Roman" w:hAnsi="Times New Roman" w:cs="Times New Roman"/>
          <w:color w:val="555555"/>
          <w:sz w:val="24"/>
          <w:szCs w:val="24"/>
        </w:rPr>
        <w:t>niveau du taux de prêt marginal (-0,4 %) en fonction du montant emprunté.</w:t>
      </w:r>
    </w:p>
    <w:p w14:paraId="7B1E7C92" w14:textId="77777777" w:rsidR="006C57B5" w:rsidRDefault="006C57B5" w:rsidP="0035483A">
      <w:pPr>
        <w:autoSpaceDE w:val="0"/>
        <w:autoSpaceDN w:val="0"/>
        <w:adjustRightInd w:val="0"/>
        <w:spacing w:after="0" w:line="240" w:lineRule="auto"/>
        <w:rPr>
          <w:rFonts w:ascii="Times New Roman" w:hAnsi="Times New Roman" w:cs="Times New Roman"/>
          <w:b/>
          <w:bCs/>
          <w:color w:val="8FB631"/>
          <w:sz w:val="24"/>
          <w:szCs w:val="24"/>
        </w:rPr>
      </w:pPr>
    </w:p>
    <w:p w14:paraId="5B9DF675" w14:textId="77777777" w:rsidR="0035483A" w:rsidRDefault="0035483A" w:rsidP="0035483A">
      <w:pPr>
        <w:autoSpaceDE w:val="0"/>
        <w:autoSpaceDN w:val="0"/>
        <w:adjustRightInd w:val="0"/>
        <w:spacing w:after="0" w:line="240" w:lineRule="auto"/>
        <w:rPr>
          <w:rFonts w:ascii="Times New Roman" w:hAnsi="Times New Roman" w:cs="Times New Roman"/>
          <w:b/>
          <w:bCs/>
          <w:color w:val="8FB631"/>
          <w:sz w:val="24"/>
          <w:szCs w:val="24"/>
        </w:rPr>
      </w:pPr>
      <w:r w:rsidRPr="0035483A">
        <w:rPr>
          <w:rFonts w:ascii="Times New Roman" w:hAnsi="Times New Roman" w:cs="Times New Roman"/>
          <w:b/>
          <w:bCs/>
          <w:color w:val="8FB631"/>
          <w:sz w:val="24"/>
          <w:szCs w:val="24"/>
        </w:rPr>
        <w:t>Interrogations sur l’efficacité de la politique d’assouplissement monétaire de la BCE</w:t>
      </w:r>
    </w:p>
    <w:p w14:paraId="5604C570" w14:textId="77777777" w:rsidR="006C57B5" w:rsidRPr="0035483A" w:rsidRDefault="006C57B5" w:rsidP="0035483A">
      <w:pPr>
        <w:autoSpaceDE w:val="0"/>
        <w:autoSpaceDN w:val="0"/>
        <w:adjustRightInd w:val="0"/>
        <w:spacing w:after="0" w:line="240" w:lineRule="auto"/>
        <w:rPr>
          <w:rFonts w:ascii="Times New Roman" w:hAnsi="Times New Roman" w:cs="Times New Roman"/>
          <w:b/>
          <w:bCs/>
          <w:color w:val="8FB631"/>
          <w:sz w:val="24"/>
          <w:szCs w:val="24"/>
        </w:rPr>
      </w:pPr>
    </w:p>
    <w:p w14:paraId="101738DA"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 xml:space="preserve">Face à la persistance d’une faible croissance et d’une inflation </w:t>
      </w:r>
      <w:r w:rsidR="003F6D53">
        <w:rPr>
          <w:rFonts w:ascii="Times New Roman" w:hAnsi="Times New Roman" w:cs="Times New Roman"/>
          <w:color w:val="555555"/>
          <w:sz w:val="24"/>
          <w:szCs w:val="24"/>
        </w:rPr>
        <w:t xml:space="preserve">atone en zone euro, de nombreux </w:t>
      </w:r>
      <w:r w:rsidRPr="0035483A">
        <w:rPr>
          <w:rFonts w:ascii="Times New Roman" w:hAnsi="Times New Roman" w:cs="Times New Roman"/>
          <w:color w:val="555555"/>
          <w:sz w:val="24"/>
          <w:szCs w:val="24"/>
        </w:rPr>
        <w:t>économistes commencent à mettre en doute l’efficacité des mes</w:t>
      </w:r>
      <w:r w:rsidR="003F6D53">
        <w:rPr>
          <w:rFonts w:ascii="Times New Roman" w:hAnsi="Times New Roman" w:cs="Times New Roman"/>
          <w:color w:val="555555"/>
          <w:sz w:val="24"/>
          <w:szCs w:val="24"/>
        </w:rPr>
        <w:t xml:space="preserve">ures de politiques monétaires non </w:t>
      </w:r>
      <w:r w:rsidRPr="0035483A">
        <w:rPr>
          <w:rFonts w:ascii="Times New Roman" w:hAnsi="Times New Roman" w:cs="Times New Roman"/>
          <w:color w:val="555555"/>
          <w:sz w:val="24"/>
          <w:szCs w:val="24"/>
        </w:rPr>
        <w:t xml:space="preserve">conventionnelles mises en </w:t>
      </w:r>
      <w:proofErr w:type="spellStart"/>
      <w:r w:rsidRPr="0035483A">
        <w:rPr>
          <w:rFonts w:ascii="Times New Roman" w:hAnsi="Times New Roman" w:cs="Times New Roman"/>
          <w:color w:val="555555"/>
          <w:sz w:val="24"/>
          <w:szCs w:val="24"/>
        </w:rPr>
        <w:t>oeuvre</w:t>
      </w:r>
      <w:proofErr w:type="spellEnd"/>
      <w:r w:rsidRPr="0035483A">
        <w:rPr>
          <w:rFonts w:ascii="Times New Roman" w:hAnsi="Times New Roman" w:cs="Times New Roman"/>
          <w:color w:val="555555"/>
          <w:sz w:val="24"/>
          <w:szCs w:val="24"/>
        </w:rPr>
        <w:t xml:space="preserve"> depuis un an par la BCE. Ainsi par exemple</w:t>
      </w:r>
      <w:r w:rsidR="003F6D53">
        <w:rPr>
          <w:rFonts w:ascii="Times New Roman" w:hAnsi="Times New Roman" w:cs="Times New Roman"/>
          <w:color w:val="555555"/>
          <w:sz w:val="24"/>
          <w:szCs w:val="24"/>
        </w:rPr>
        <w:t xml:space="preserve">, Patrick Artus alerte-t-il sur </w:t>
      </w:r>
      <w:r w:rsidRPr="0035483A">
        <w:rPr>
          <w:rFonts w:ascii="Times New Roman" w:hAnsi="Times New Roman" w:cs="Times New Roman"/>
          <w:color w:val="555555"/>
          <w:sz w:val="24"/>
          <w:szCs w:val="24"/>
        </w:rPr>
        <w:t>les risques d’une nouvelle crise financière directement liée, selon lui, aux flot</w:t>
      </w:r>
      <w:r w:rsidR="003F6D53">
        <w:rPr>
          <w:rFonts w:ascii="Times New Roman" w:hAnsi="Times New Roman" w:cs="Times New Roman"/>
          <w:color w:val="555555"/>
          <w:sz w:val="24"/>
          <w:szCs w:val="24"/>
        </w:rPr>
        <w:t xml:space="preserve">s de liquidités déversés depuis </w:t>
      </w:r>
      <w:r w:rsidRPr="0035483A">
        <w:rPr>
          <w:rFonts w:ascii="Times New Roman" w:hAnsi="Times New Roman" w:cs="Times New Roman"/>
          <w:color w:val="555555"/>
          <w:sz w:val="24"/>
          <w:szCs w:val="24"/>
        </w:rPr>
        <w:t>plusieurs années par les banques centrales.</w:t>
      </w:r>
    </w:p>
    <w:p w14:paraId="65ECAA88"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 xml:space="preserve">A cela, Mario </w:t>
      </w:r>
      <w:proofErr w:type="spellStart"/>
      <w:r w:rsidRPr="0035483A">
        <w:rPr>
          <w:rFonts w:ascii="Times New Roman" w:hAnsi="Times New Roman" w:cs="Times New Roman"/>
          <w:color w:val="555555"/>
          <w:sz w:val="24"/>
          <w:szCs w:val="24"/>
        </w:rPr>
        <w:t>Draghi</w:t>
      </w:r>
      <w:proofErr w:type="spellEnd"/>
      <w:r w:rsidRPr="0035483A">
        <w:rPr>
          <w:rFonts w:ascii="Times New Roman" w:hAnsi="Times New Roman" w:cs="Times New Roman"/>
          <w:color w:val="555555"/>
          <w:sz w:val="24"/>
          <w:szCs w:val="24"/>
        </w:rPr>
        <w:t xml:space="preserve"> a répondu que la politique d’assouplissement monétaire décidée par le conseil d</w:t>
      </w:r>
      <w:r w:rsidR="003F6D53">
        <w:rPr>
          <w:rFonts w:ascii="Times New Roman" w:hAnsi="Times New Roman" w:cs="Times New Roman"/>
          <w:color w:val="555555"/>
          <w:sz w:val="24"/>
          <w:szCs w:val="24"/>
        </w:rPr>
        <w:t xml:space="preserve">es </w:t>
      </w:r>
      <w:r w:rsidRPr="0035483A">
        <w:rPr>
          <w:rFonts w:ascii="Times New Roman" w:hAnsi="Times New Roman" w:cs="Times New Roman"/>
          <w:color w:val="555555"/>
          <w:sz w:val="24"/>
          <w:szCs w:val="24"/>
        </w:rPr>
        <w:t>gouverneurs avait permis d’éviter que la zone euro n’enregistre une cro</w:t>
      </w:r>
      <w:r w:rsidR="003F6D53">
        <w:rPr>
          <w:rFonts w:ascii="Times New Roman" w:hAnsi="Times New Roman" w:cs="Times New Roman"/>
          <w:color w:val="555555"/>
          <w:sz w:val="24"/>
          <w:szCs w:val="24"/>
        </w:rPr>
        <w:t xml:space="preserve">issance plus faible et des taux </w:t>
      </w:r>
      <w:r w:rsidRPr="0035483A">
        <w:rPr>
          <w:rFonts w:ascii="Times New Roman" w:hAnsi="Times New Roman" w:cs="Times New Roman"/>
          <w:color w:val="555555"/>
          <w:sz w:val="24"/>
          <w:szCs w:val="24"/>
        </w:rPr>
        <w:t>d’inflation encore plus bas.</w:t>
      </w:r>
    </w:p>
    <w:p w14:paraId="43570B1B" w14:textId="77777777" w:rsidR="0035483A" w:rsidRPr="0035483A" w:rsidRDefault="0035483A" w:rsidP="0035483A">
      <w:pPr>
        <w:autoSpaceDE w:val="0"/>
        <w:autoSpaceDN w:val="0"/>
        <w:adjustRightInd w:val="0"/>
        <w:spacing w:after="0" w:line="240" w:lineRule="auto"/>
        <w:rPr>
          <w:rFonts w:ascii="Times New Roman" w:hAnsi="Times New Roman" w:cs="Times New Roman"/>
          <w:color w:val="555555"/>
          <w:sz w:val="24"/>
          <w:szCs w:val="24"/>
        </w:rPr>
      </w:pPr>
      <w:r w:rsidRPr="0035483A">
        <w:rPr>
          <w:rFonts w:ascii="Times New Roman" w:hAnsi="Times New Roman" w:cs="Times New Roman"/>
          <w:color w:val="555555"/>
          <w:sz w:val="24"/>
          <w:szCs w:val="24"/>
        </w:rPr>
        <w:t xml:space="preserve">Le gouverneur de la Banque de France, François </w:t>
      </w:r>
      <w:proofErr w:type="spellStart"/>
      <w:r w:rsidRPr="0035483A">
        <w:rPr>
          <w:rFonts w:ascii="Times New Roman" w:hAnsi="Times New Roman" w:cs="Times New Roman"/>
          <w:color w:val="555555"/>
          <w:sz w:val="24"/>
          <w:szCs w:val="24"/>
        </w:rPr>
        <w:t>Villeroy</w:t>
      </w:r>
      <w:proofErr w:type="spellEnd"/>
      <w:r w:rsidRPr="0035483A">
        <w:rPr>
          <w:rFonts w:ascii="Times New Roman" w:hAnsi="Times New Roman" w:cs="Times New Roman"/>
          <w:color w:val="555555"/>
          <w:sz w:val="24"/>
          <w:szCs w:val="24"/>
        </w:rPr>
        <w:t xml:space="preserve"> De </w:t>
      </w:r>
      <w:proofErr w:type="spellStart"/>
      <w:r w:rsidRPr="0035483A">
        <w:rPr>
          <w:rFonts w:ascii="Times New Roman" w:hAnsi="Times New Roman" w:cs="Times New Roman"/>
          <w:color w:val="555555"/>
          <w:sz w:val="24"/>
          <w:szCs w:val="24"/>
        </w:rPr>
        <w:t>Galhau</w:t>
      </w:r>
      <w:proofErr w:type="spellEnd"/>
      <w:r w:rsidRPr="0035483A">
        <w:rPr>
          <w:rFonts w:ascii="Times New Roman" w:hAnsi="Times New Roman" w:cs="Times New Roman"/>
          <w:color w:val="555555"/>
          <w:sz w:val="24"/>
          <w:szCs w:val="24"/>
        </w:rPr>
        <w:t xml:space="preserve">, </w:t>
      </w:r>
      <w:r w:rsidR="003F6D53">
        <w:rPr>
          <w:rFonts w:ascii="Times New Roman" w:hAnsi="Times New Roman" w:cs="Times New Roman"/>
          <w:color w:val="555555"/>
          <w:sz w:val="24"/>
          <w:szCs w:val="24"/>
        </w:rPr>
        <w:t xml:space="preserve">également membre du conseil des </w:t>
      </w:r>
      <w:r w:rsidRPr="0035483A">
        <w:rPr>
          <w:rFonts w:ascii="Times New Roman" w:hAnsi="Times New Roman" w:cs="Times New Roman"/>
          <w:color w:val="555555"/>
          <w:sz w:val="24"/>
          <w:szCs w:val="24"/>
        </w:rPr>
        <w:t>gouverneurs de la BCE, a ainsi affirmé dans un entretien au journal « Le Fig</w:t>
      </w:r>
      <w:r w:rsidR="003F6D53">
        <w:rPr>
          <w:rFonts w:ascii="Times New Roman" w:hAnsi="Times New Roman" w:cs="Times New Roman"/>
          <w:color w:val="555555"/>
          <w:sz w:val="24"/>
          <w:szCs w:val="24"/>
        </w:rPr>
        <w:t xml:space="preserve">aro » le 10 février 2016 que, « </w:t>
      </w:r>
      <w:r w:rsidRPr="0035483A">
        <w:rPr>
          <w:rFonts w:ascii="Times New Roman" w:hAnsi="Times New Roman" w:cs="Times New Roman"/>
          <w:i/>
          <w:iCs/>
          <w:color w:val="555555"/>
          <w:sz w:val="24"/>
          <w:szCs w:val="24"/>
        </w:rPr>
        <w:t>selon les estimations convergentes de la BCE et des banques centrales nationales, grâce à ces mesures</w:t>
      </w:r>
      <w:r w:rsidR="003F6D53">
        <w:rPr>
          <w:rFonts w:ascii="Times New Roman" w:hAnsi="Times New Roman" w:cs="Times New Roman"/>
          <w:color w:val="555555"/>
          <w:sz w:val="24"/>
          <w:szCs w:val="24"/>
        </w:rPr>
        <w:t xml:space="preserve"> </w:t>
      </w:r>
      <w:r w:rsidRPr="0035483A">
        <w:rPr>
          <w:rFonts w:ascii="Times New Roman" w:hAnsi="Times New Roman" w:cs="Times New Roman"/>
          <w:i/>
          <w:iCs/>
          <w:color w:val="555555"/>
          <w:sz w:val="24"/>
          <w:szCs w:val="24"/>
        </w:rPr>
        <w:t>de politique monétaire non conventionnelle, le taux d'inflation aura augmenté de 0,5 % en 2016 et de 0,3 %</w:t>
      </w:r>
      <w:r w:rsidR="003F6D53">
        <w:rPr>
          <w:rFonts w:ascii="Times New Roman" w:hAnsi="Times New Roman" w:cs="Times New Roman"/>
          <w:color w:val="555555"/>
          <w:sz w:val="24"/>
          <w:szCs w:val="24"/>
        </w:rPr>
        <w:t xml:space="preserve"> </w:t>
      </w:r>
      <w:r w:rsidRPr="0035483A">
        <w:rPr>
          <w:rFonts w:ascii="Times New Roman" w:hAnsi="Times New Roman" w:cs="Times New Roman"/>
          <w:i/>
          <w:iCs/>
          <w:color w:val="555555"/>
          <w:sz w:val="24"/>
          <w:szCs w:val="24"/>
        </w:rPr>
        <w:t xml:space="preserve">en 2017 toutes choses égales par ailleurs </w:t>
      </w:r>
      <w:r w:rsidRPr="0035483A">
        <w:rPr>
          <w:rFonts w:ascii="Times New Roman" w:hAnsi="Times New Roman" w:cs="Times New Roman"/>
          <w:color w:val="555555"/>
          <w:sz w:val="24"/>
          <w:szCs w:val="24"/>
        </w:rPr>
        <w:t xml:space="preserve">». Il a aussi ajouté « </w:t>
      </w:r>
      <w:r w:rsidRPr="0035483A">
        <w:rPr>
          <w:rFonts w:ascii="Times New Roman" w:hAnsi="Times New Roman" w:cs="Times New Roman"/>
          <w:i/>
          <w:iCs/>
          <w:color w:val="555555"/>
          <w:sz w:val="24"/>
          <w:szCs w:val="24"/>
        </w:rPr>
        <w:t>qu’en ce qui concerne la France, cela a</w:t>
      </w:r>
      <w:r w:rsidR="003F6D53">
        <w:rPr>
          <w:rFonts w:ascii="Times New Roman" w:hAnsi="Times New Roman" w:cs="Times New Roman"/>
          <w:color w:val="555555"/>
          <w:sz w:val="24"/>
          <w:szCs w:val="24"/>
        </w:rPr>
        <w:t xml:space="preserve"> </w:t>
      </w:r>
      <w:r w:rsidRPr="0035483A">
        <w:rPr>
          <w:rFonts w:ascii="Times New Roman" w:hAnsi="Times New Roman" w:cs="Times New Roman"/>
          <w:i/>
          <w:iCs/>
          <w:color w:val="555555"/>
          <w:sz w:val="24"/>
          <w:szCs w:val="24"/>
        </w:rPr>
        <w:t>contribué à accroître la croissance de 0,3 % en 2015, l'Insee ayant même une estimation un peu</w:t>
      </w:r>
      <w:r w:rsidR="003F6D53">
        <w:rPr>
          <w:rFonts w:ascii="Times New Roman" w:hAnsi="Times New Roman" w:cs="Times New Roman"/>
          <w:color w:val="555555"/>
          <w:sz w:val="24"/>
          <w:szCs w:val="24"/>
        </w:rPr>
        <w:t xml:space="preserve"> </w:t>
      </w:r>
      <w:r w:rsidRPr="0035483A">
        <w:rPr>
          <w:rFonts w:ascii="Times New Roman" w:hAnsi="Times New Roman" w:cs="Times New Roman"/>
          <w:i/>
          <w:iCs/>
          <w:color w:val="555555"/>
          <w:sz w:val="24"/>
          <w:szCs w:val="24"/>
        </w:rPr>
        <w:t xml:space="preserve">supérieure (0,4 %) </w:t>
      </w:r>
      <w:r w:rsidRPr="0035483A">
        <w:rPr>
          <w:rFonts w:ascii="Times New Roman" w:hAnsi="Times New Roman" w:cs="Times New Roman"/>
          <w:color w:val="555555"/>
          <w:sz w:val="24"/>
          <w:szCs w:val="24"/>
        </w:rPr>
        <w:t>».</w:t>
      </w:r>
    </w:p>
    <w:p w14:paraId="7D51F3A1" w14:textId="77777777" w:rsidR="0035483A" w:rsidRPr="0035483A" w:rsidRDefault="0035483A" w:rsidP="0035483A">
      <w:pPr>
        <w:rPr>
          <w:rFonts w:ascii="Times New Roman" w:hAnsi="Times New Roman" w:cs="Times New Roman"/>
          <w:sz w:val="24"/>
          <w:szCs w:val="24"/>
        </w:rPr>
      </w:pPr>
    </w:p>
    <w:sectPr w:rsidR="0035483A" w:rsidRPr="0035483A" w:rsidSect="00B30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42261"/>
    <w:multiLevelType w:val="hybridMultilevel"/>
    <w:tmpl w:val="7D2CA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317668"/>
    <w:multiLevelType w:val="hybridMultilevel"/>
    <w:tmpl w:val="24005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05"/>
    <w:rsid w:val="00033F6C"/>
    <w:rsid w:val="001A58FC"/>
    <w:rsid w:val="0035483A"/>
    <w:rsid w:val="003F6D53"/>
    <w:rsid w:val="00482981"/>
    <w:rsid w:val="005C71A0"/>
    <w:rsid w:val="006C57B5"/>
    <w:rsid w:val="007206AF"/>
    <w:rsid w:val="007337F2"/>
    <w:rsid w:val="00950655"/>
    <w:rsid w:val="00A42BA2"/>
    <w:rsid w:val="00B27FEF"/>
    <w:rsid w:val="00B30E05"/>
    <w:rsid w:val="00BD77EE"/>
    <w:rsid w:val="00C613BB"/>
    <w:rsid w:val="00C85AAB"/>
    <w:rsid w:val="00D9529B"/>
    <w:rsid w:val="00DA3F06"/>
    <w:rsid w:val="00E86F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15FC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0E05"/>
    <w:rPr>
      <w:color w:val="0000FF" w:themeColor="hyperlink"/>
      <w:u w:val="single"/>
    </w:rPr>
  </w:style>
  <w:style w:type="paragraph" w:styleId="Paragraphedeliste">
    <w:name w:val="List Paragraph"/>
    <w:basedOn w:val="Normal"/>
    <w:uiPriority w:val="34"/>
    <w:qFormat/>
    <w:rsid w:val="00B30E05"/>
    <w:pPr>
      <w:ind w:left="720"/>
      <w:contextualSpacing/>
    </w:pPr>
  </w:style>
  <w:style w:type="paragraph" w:styleId="Textedebulles">
    <w:name w:val="Balloon Text"/>
    <w:basedOn w:val="Normal"/>
    <w:link w:val="TextedebullesCar"/>
    <w:uiPriority w:val="99"/>
    <w:semiHidden/>
    <w:unhideWhenUsed/>
    <w:rsid w:val="006C57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7B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0E05"/>
    <w:rPr>
      <w:color w:val="0000FF" w:themeColor="hyperlink"/>
      <w:u w:val="single"/>
    </w:rPr>
  </w:style>
  <w:style w:type="paragraph" w:styleId="Paragraphedeliste">
    <w:name w:val="List Paragraph"/>
    <w:basedOn w:val="Normal"/>
    <w:uiPriority w:val="34"/>
    <w:qFormat/>
    <w:rsid w:val="00B30E05"/>
    <w:pPr>
      <w:ind w:left="720"/>
      <w:contextualSpacing/>
    </w:pPr>
  </w:style>
  <w:style w:type="paragraph" w:styleId="Textedebulles">
    <w:name w:val="Balloon Text"/>
    <w:basedOn w:val="Normal"/>
    <w:link w:val="TextedebullesCar"/>
    <w:uiPriority w:val="99"/>
    <w:semiHidden/>
    <w:unhideWhenUsed/>
    <w:rsid w:val="006C57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198">
      <w:bodyDiv w:val="1"/>
      <w:marLeft w:val="0"/>
      <w:marRight w:val="0"/>
      <w:marTop w:val="0"/>
      <w:marBottom w:val="0"/>
      <w:divBdr>
        <w:top w:val="none" w:sz="0" w:space="0" w:color="auto"/>
        <w:left w:val="none" w:sz="0" w:space="0" w:color="auto"/>
        <w:bottom w:val="none" w:sz="0" w:space="0" w:color="auto"/>
        <w:right w:val="none" w:sz="0" w:space="0" w:color="auto"/>
      </w:divBdr>
    </w:div>
    <w:div w:id="574894561">
      <w:bodyDiv w:val="1"/>
      <w:marLeft w:val="0"/>
      <w:marRight w:val="0"/>
      <w:marTop w:val="0"/>
      <w:marBottom w:val="0"/>
      <w:divBdr>
        <w:top w:val="none" w:sz="0" w:space="0" w:color="auto"/>
        <w:left w:val="none" w:sz="0" w:space="0" w:color="auto"/>
        <w:bottom w:val="none" w:sz="0" w:space="0" w:color="auto"/>
        <w:right w:val="none" w:sz="0" w:space="0" w:color="auto"/>
      </w:divBdr>
    </w:div>
    <w:div w:id="1248464252">
      <w:bodyDiv w:val="1"/>
      <w:marLeft w:val="0"/>
      <w:marRight w:val="0"/>
      <w:marTop w:val="0"/>
      <w:marBottom w:val="0"/>
      <w:divBdr>
        <w:top w:val="none" w:sz="0" w:space="0" w:color="auto"/>
        <w:left w:val="none" w:sz="0" w:space="0" w:color="auto"/>
        <w:bottom w:val="none" w:sz="0" w:space="0" w:color="auto"/>
        <w:right w:val="none" w:sz="0" w:space="0" w:color="auto"/>
      </w:divBdr>
    </w:div>
    <w:div w:id="1625424796">
      <w:bodyDiv w:val="1"/>
      <w:marLeft w:val="0"/>
      <w:marRight w:val="0"/>
      <w:marTop w:val="0"/>
      <w:marBottom w:val="0"/>
      <w:divBdr>
        <w:top w:val="none" w:sz="0" w:space="0" w:color="auto"/>
        <w:left w:val="none" w:sz="0" w:space="0" w:color="auto"/>
        <w:bottom w:val="none" w:sz="0" w:space="0" w:color="auto"/>
        <w:right w:val="none" w:sz="0" w:space="0" w:color="auto"/>
      </w:divBdr>
    </w:div>
    <w:div w:id="164142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ssinemoileco.com/quantitative-easing/" TargetMode="External"/><Relationship Id="rId20" Type="http://schemas.openxmlformats.org/officeDocument/2006/relationships/hyperlink" Target="http://www.lafinancepourtous.com/Actualites/La-BCE-renforce-sa-politique-d-assouplissement-monetair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afinancepourtous.com/Actualites/La-BCE-renforce-sa-politique-d-assouplissement-monetaire"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yperlink" Target="http://www.lafinancepourtous.com/Actualites/La-BCE-renforce-sa-politique-d-assouplissement-monetaire" TargetMode="External"/><Relationship Id="rId17" Type="http://schemas.openxmlformats.org/officeDocument/2006/relationships/hyperlink" Target="http://dessinemoileco.com/quantitative-easing/" TargetMode="External"/><Relationship Id="rId18" Type="http://schemas.openxmlformats.org/officeDocument/2006/relationships/hyperlink" Target="http://dessinemoileco.com/quantitative-easing/" TargetMode="Externa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ssinemoileco.com/quantitative-easing/" TargetMode="External"/><Relationship Id="rId7" Type="http://schemas.openxmlformats.org/officeDocument/2006/relationships/hyperlink" Target="http://www.lafinancepourtous.com/Actualites/La-BCE-renforce-sa-politique-d-assouplissement-monetaire" TargetMode="External"/><Relationship Id="rId8" Type="http://schemas.openxmlformats.org/officeDocument/2006/relationships/hyperlink" Target="http://www.lafinancepourtous.com/Actualites/La-BCE-renforce-sa-politique-d-assouplissement-monetair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72C20B-DC98-4C02-AEFC-1E5BD93120A2}"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fr-FR"/>
        </a:p>
      </dgm:t>
    </dgm:pt>
    <dgm:pt modelId="{5A0B3C49-867D-48E2-8653-F7458DE90D5E}">
      <dgm:prSet phldrT="[Texte]" phldr="1"/>
      <dgm:spPr/>
      <dgm:t>
        <a:bodyPr/>
        <a:lstStyle/>
        <a:p>
          <a:endParaRPr lang="fr-FR"/>
        </a:p>
      </dgm:t>
    </dgm:pt>
    <dgm:pt modelId="{EF4BBEF9-9ADF-48CD-9639-56DE886EB538}" type="parTrans" cxnId="{7E87F62A-5970-4807-8BE4-238971EA9218}">
      <dgm:prSet/>
      <dgm:spPr/>
      <dgm:t>
        <a:bodyPr/>
        <a:lstStyle/>
        <a:p>
          <a:endParaRPr lang="fr-FR"/>
        </a:p>
      </dgm:t>
    </dgm:pt>
    <dgm:pt modelId="{4636445C-9C6F-4362-BC7B-7B0714DE9567}" type="sibTrans" cxnId="{7E87F62A-5970-4807-8BE4-238971EA9218}">
      <dgm:prSet/>
      <dgm:spPr/>
      <dgm:t>
        <a:bodyPr/>
        <a:lstStyle/>
        <a:p>
          <a:r>
            <a:rPr lang="fr-FR"/>
            <a:t>Quantitative  easing</a:t>
          </a:r>
        </a:p>
      </dgm:t>
    </dgm:pt>
    <dgm:pt modelId="{2ECA0F2F-CF58-4751-A0AA-2282700E41A5}" type="asst">
      <dgm:prSet phldrT="[Texte]" phldr="1"/>
      <dgm:spPr/>
      <dgm:t>
        <a:bodyPr/>
        <a:lstStyle/>
        <a:p>
          <a:endParaRPr lang="fr-FR"/>
        </a:p>
      </dgm:t>
    </dgm:pt>
    <dgm:pt modelId="{BD459FAE-B4E8-414D-A8DC-41E3DFFBF4F4}" type="parTrans" cxnId="{381657D6-2857-4FE7-8B05-36735EB77927}">
      <dgm:prSet/>
      <dgm:spPr/>
      <dgm:t>
        <a:bodyPr/>
        <a:lstStyle/>
        <a:p>
          <a:endParaRPr lang="fr-FR"/>
        </a:p>
      </dgm:t>
    </dgm:pt>
    <dgm:pt modelId="{AB347C89-388F-40C8-A47A-F88F7CCEC621}" type="sibTrans" cxnId="{381657D6-2857-4FE7-8B05-36735EB77927}">
      <dgm:prSet/>
      <dgm:spPr/>
      <dgm:t>
        <a:bodyPr/>
        <a:lstStyle/>
        <a:p>
          <a:r>
            <a:rPr lang="fr-FR"/>
            <a:t>Politique monétaire non conventionelle de la BCE</a:t>
          </a:r>
        </a:p>
      </dgm:t>
    </dgm:pt>
    <dgm:pt modelId="{FB5D7614-4CA6-452A-937A-BE117E74438A}">
      <dgm:prSet phldrT="[Texte]" phldr="1"/>
      <dgm:spPr/>
      <dgm:t>
        <a:bodyPr/>
        <a:lstStyle/>
        <a:p>
          <a:endParaRPr lang="fr-FR"/>
        </a:p>
      </dgm:t>
    </dgm:pt>
    <dgm:pt modelId="{0E7EFD4C-EB6A-48CE-BEA5-6254580FD32D}" type="parTrans" cxnId="{DFB735B2-8C72-48CB-9B4C-C030EA3AA142}">
      <dgm:prSet/>
      <dgm:spPr/>
      <dgm:t>
        <a:bodyPr/>
        <a:lstStyle/>
        <a:p>
          <a:endParaRPr lang="fr-FR"/>
        </a:p>
      </dgm:t>
    </dgm:pt>
    <dgm:pt modelId="{A5249CFB-6907-4E59-9422-5A88C6324E41}" type="sibTrans" cxnId="{DFB735B2-8C72-48CB-9B4C-C030EA3AA142}">
      <dgm:prSet/>
      <dgm:spPr/>
      <dgm:t>
        <a:bodyPr/>
        <a:lstStyle/>
        <a:p>
          <a:endParaRPr lang="fr-FR"/>
        </a:p>
      </dgm:t>
    </dgm:pt>
    <dgm:pt modelId="{87008470-DFEE-462A-8F1E-E785BB479451}">
      <dgm:prSet phldrT="[Texte]" phldr="1"/>
      <dgm:spPr/>
      <dgm:t>
        <a:bodyPr/>
        <a:lstStyle/>
        <a:p>
          <a:endParaRPr lang="fr-FR"/>
        </a:p>
      </dgm:t>
    </dgm:pt>
    <dgm:pt modelId="{69CF6A63-A800-4FEC-97CB-A834C9A76BFD}" type="parTrans" cxnId="{C51E0B15-E83B-4B39-8A39-78E92E7B0444}">
      <dgm:prSet/>
      <dgm:spPr/>
      <dgm:t>
        <a:bodyPr/>
        <a:lstStyle/>
        <a:p>
          <a:endParaRPr lang="fr-FR"/>
        </a:p>
      </dgm:t>
    </dgm:pt>
    <dgm:pt modelId="{EC8A2CB6-9B35-4B7D-83AF-A25BE23A2F0C}" type="sibTrans" cxnId="{C51E0B15-E83B-4B39-8A39-78E92E7B0444}">
      <dgm:prSet/>
      <dgm:spPr/>
      <dgm:t>
        <a:bodyPr/>
        <a:lstStyle/>
        <a:p>
          <a:endParaRPr lang="fr-FR"/>
        </a:p>
      </dgm:t>
    </dgm:pt>
    <dgm:pt modelId="{5DFBCB23-3085-4786-9E3D-241222755BF9}">
      <dgm:prSet phldrT="[Texte]" phldr="1"/>
      <dgm:spPr/>
      <dgm:t>
        <a:bodyPr/>
        <a:lstStyle/>
        <a:p>
          <a:endParaRPr lang="fr-FR"/>
        </a:p>
      </dgm:t>
    </dgm:pt>
    <dgm:pt modelId="{1AAE80A3-1484-48C3-9879-FAB3EF7331B9}" type="parTrans" cxnId="{F8328721-C766-4BA7-9535-59B3596BFD41}">
      <dgm:prSet/>
      <dgm:spPr/>
      <dgm:t>
        <a:bodyPr/>
        <a:lstStyle/>
        <a:p>
          <a:endParaRPr lang="fr-FR"/>
        </a:p>
      </dgm:t>
    </dgm:pt>
    <dgm:pt modelId="{4E3C043C-CDA7-4766-A9F0-8590C90C5D4E}" type="sibTrans" cxnId="{F8328721-C766-4BA7-9535-59B3596BFD41}">
      <dgm:prSet/>
      <dgm:spPr/>
      <dgm:t>
        <a:bodyPr/>
        <a:lstStyle/>
        <a:p>
          <a:endParaRPr lang="fr-FR"/>
        </a:p>
      </dgm:t>
    </dgm:pt>
    <dgm:pt modelId="{DC37EB16-1FC5-4A72-818B-393DD212D13C}" type="pres">
      <dgm:prSet presAssocID="{1372C20B-DC98-4C02-AEFC-1E5BD93120A2}" presName="hierChild1" presStyleCnt="0">
        <dgm:presLayoutVars>
          <dgm:orgChart val="1"/>
          <dgm:chPref val="1"/>
          <dgm:dir/>
          <dgm:animOne val="branch"/>
          <dgm:animLvl val="lvl"/>
          <dgm:resizeHandles/>
        </dgm:presLayoutVars>
      </dgm:prSet>
      <dgm:spPr/>
      <dgm:t>
        <a:bodyPr/>
        <a:lstStyle/>
        <a:p>
          <a:endParaRPr lang="fr-FR"/>
        </a:p>
      </dgm:t>
    </dgm:pt>
    <dgm:pt modelId="{5A557EB7-A8F9-44C2-9188-B69CEDFCDBC8}" type="pres">
      <dgm:prSet presAssocID="{5A0B3C49-867D-48E2-8653-F7458DE90D5E}" presName="hierRoot1" presStyleCnt="0">
        <dgm:presLayoutVars>
          <dgm:hierBranch val="init"/>
        </dgm:presLayoutVars>
      </dgm:prSet>
      <dgm:spPr/>
    </dgm:pt>
    <dgm:pt modelId="{5E91E001-0CE4-4786-9B7C-892D23D31D7B}" type="pres">
      <dgm:prSet presAssocID="{5A0B3C49-867D-48E2-8653-F7458DE90D5E}" presName="rootComposite1" presStyleCnt="0"/>
      <dgm:spPr/>
    </dgm:pt>
    <dgm:pt modelId="{02F2B83D-64F9-4D18-A76C-EC3ABA8583BA}" type="pres">
      <dgm:prSet presAssocID="{5A0B3C49-867D-48E2-8653-F7458DE90D5E}" presName="rootText1" presStyleLbl="node0" presStyleIdx="0" presStyleCnt="1">
        <dgm:presLayoutVars>
          <dgm:chMax/>
          <dgm:chPref val="3"/>
        </dgm:presLayoutVars>
      </dgm:prSet>
      <dgm:spPr/>
      <dgm:t>
        <a:bodyPr/>
        <a:lstStyle/>
        <a:p>
          <a:endParaRPr lang="fr-FR"/>
        </a:p>
      </dgm:t>
    </dgm:pt>
    <dgm:pt modelId="{5B48AA32-76D5-44A3-8BD1-83692E959ADA}" type="pres">
      <dgm:prSet presAssocID="{5A0B3C49-867D-48E2-8653-F7458DE90D5E}" presName="titleText1" presStyleLbl="fgAcc0" presStyleIdx="0" presStyleCnt="1">
        <dgm:presLayoutVars>
          <dgm:chMax val="0"/>
          <dgm:chPref val="0"/>
        </dgm:presLayoutVars>
      </dgm:prSet>
      <dgm:spPr/>
      <dgm:t>
        <a:bodyPr/>
        <a:lstStyle/>
        <a:p>
          <a:endParaRPr lang="fr-FR"/>
        </a:p>
      </dgm:t>
    </dgm:pt>
    <dgm:pt modelId="{55FC5B51-CCC8-4AE9-95E3-D4163D2B5AC9}" type="pres">
      <dgm:prSet presAssocID="{5A0B3C49-867D-48E2-8653-F7458DE90D5E}" presName="rootConnector1" presStyleLbl="node1" presStyleIdx="0" presStyleCnt="3"/>
      <dgm:spPr/>
      <dgm:t>
        <a:bodyPr/>
        <a:lstStyle/>
        <a:p>
          <a:endParaRPr lang="fr-FR"/>
        </a:p>
      </dgm:t>
    </dgm:pt>
    <dgm:pt modelId="{6E534A21-61BC-4846-B9C8-3EE01BF25D13}" type="pres">
      <dgm:prSet presAssocID="{5A0B3C49-867D-48E2-8653-F7458DE90D5E}" presName="hierChild2" presStyleCnt="0"/>
      <dgm:spPr/>
    </dgm:pt>
    <dgm:pt modelId="{56AE553C-EAD9-4A73-85B5-48B3437227E4}" type="pres">
      <dgm:prSet presAssocID="{0E7EFD4C-EB6A-48CE-BEA5-6254580FD32D}" presName="Name37" presStyleLbl="parChTrans1D2" presStyleIdx="0" presStyleCnt="4"/>
      <dgm:spPr/>
      <dgm:t>
        <a:bodyPr/>
        <a:lstStyle/>
        <a:p>
          <a:endParaRPr lang="fr-FR"/>
        </a:p>
      </dgm:t>
    </dgm:pt>
    <dgm:pt modelId="{9BEC230A-BB20-4147-8BA3-373C920C2D2A}" type="pres">
      <dgm:prSet presAssocID="{FB5D7614-4CA6-452A-937A-BE117E74438A}" presName="hierRoot2" presStyleCnt="0">
        <dgm:presLayoutVars>
          <dgm:hierBranch val="init"/>
        </dgm:presLayoutVars>
      </dgm:prSet>
      <dgm:spPr/>
    </dgm:pt>
    <dgm:pt modelId="{C84E757B-5255-4A80-810F-DF9C3FF75510}" type="pres">
      <dgm:prSet presAssocID="{FB5D7614-4CA6-452A-937A-BE117E74438A}" presName="rootComposite" presStyleCnt="0"/>
      <dgm:spPr/>
    </dgm:pt>
    <dgm:pt modelId="{7801DFA3-BBBD-4CE6-985E-C07313380E00}" type="pres">
      <dgm:prSet presAssocID="{FB5D7614-4CA6-452A-937A-BE117E74438A}" presName="rootText" presStyleLbl="node1" presStyleIdx="0" presStyleCnt="3">
        <dgm:presLayoutVars>
          <dgm:chMax/>
          <dgm:chPref val="3"/>
        </dgm:presLayoutVars>
      </dgm:prSet>
      <dgm:spPr/>
      <dgm:t>
        <a:bodyPr/>
        <a:lstStyle/>
        <a:p>
          <a:endParaRPr lang="fr-FR"/>
        </a:p>
      </dgm:t>
    </dgm:pt>
    <dgm:pt modelId="{FBDFC307-5111-400B-BFFD-E92C1395C6FF}" type="pres">
      <dgm:prSet presAssocID="{FB5D7614-4CA6-452A-937A-BE117E74438A}" presName="titleText2" presStyleLbl="fgAcc1" presStyleIdx="0" presStyleCnt="3">
        <dgm:presLayoutVars>
          <dgm:chMax val="0"/>
          <dgm:chPref val="0"/>
        </dgm:presLayoutVars>
      </dgm:prSet>
      <dgm:spPr/>
      <dgm:t>
        <a:bodyPr/>
        <a:lstStyle/>
        <a:p>
          <a:endParaRPr lang="fr-FR"/>
        </a:p>
      </dgm:t>
    </dgm:pt>
    <dgm:pt modelId="{FD4431B4-6BD3-4B1E-BBA6-2096B453DC63}" type="pres">
      <dgm:prSet presAssocID="{FB5D7614-4CA6-452A-937A-BE117E74438A}" presName="rootConnector" presStyleLbl="node2" presStyleIdx="0" presStyleCnt="0"/>
      <dgm:spPr/>
      <dgm:t>
        <a:bodyPr/>
        <a:lstStyle/>
        <a:p>
          <a:endParaRPr lang="fr-FR"/>
        </a:p>
      </dgm:t>
    </dgm:pt>
    <dgm:pt modelId="{9417569F-67B2-44F1-BEDC-AE77D69B5CDD}" type="pres">
      <dgm:prSet presAssocID="{FB5D7614-4CA6-452A-937A-BE117E74438A}" presName="hierChild4" presStyleCnt="0"/>
      <dgm:spPr/>
    </dgm:pt>
    <dgm:pt modelId="{744477ED-7EC2-4783-A86A-07A072B57802}" type="pres">
      <dgm:prSet presAssocID="{FB5D7614-4CA6-452A-937A-BE117E74438A}" presName="hierChild5" presStyleCnt="0"/>
      <dgm:spPr/>
    </dgm:pt>
    <dgm:pt modelId="{2097F661-66FB-4207-AFB9-3D0482DEFB65}" type="pres">
      <dgm:prSet presAssocID="{69CF6A63-A800-4FEC-97CB-A834C9A76BFD}" presName="Name37" presStyleLbl="parChTrans1D2" presStyleIdx="1" presStyleCnt="4"/>
      <dgm:spPr/>
      <dgm:t>
        <a:bodyPr/>
        <a:lstStyle/>
        <a:p>
          <a:endParaRPr lang="fr-FR"/>
        </a:p>
      </dgm:t>
    </dgm:pt>
    <dgm:pt modelId="{C9F961B9-872F-44AE-90CF-1D0CB6E27897}" type="pres">
      <dgm:prSet presAssocID="{87008470-DFEE-462A-8F1E-E785BB479451}" presName="hierRoot2" presStyleCnt="0">
        <dgm:presLayoutVars>
          <dgm:hierBranch val="init"/>
        </dgm:presLayoutVars>
      </dgm:prSet>
      <dgm:spPr/>
    </dgm:pt>
    <dgm:pt modelId="{E82377B8-0D3F-4F2C-AC6A-42C6B2D71625}" type="pres">
      <dgm:prSet presAssocID="{87008470-DFEE-462A-8F1E-E785BB479451}" presName="rootComposite" presStyleCnt="0"/>
      <dgm:spPr/>
    </dgm:pt>
    <dgm:pt modelId="{589784D8-8B1A-4E9E-B9D5-2DCB003391E6}" type="pres">
      <dgm:prSet presAssocID="{87008470-DFEE-462A-8F1E-E785BB479451}" presName="rootText" presStyleLbl="node1" presStyleIdx="1" presStyleCnt="3">
        <dgm:presLayoutVars>
          <dgm:chMax/>
          <dgm:chPref val="3"/>
        </dgm:presLayoutVars>
      </dgm:prSet>
      <dgm:spPr/>
      <dgm:t>
        <a:bodyPr/>
        <a:lstStyle/>
        <a:p>
          <a:endParaRPr lang="fr-FR"/>
        </a:p>
      </dgm:t>
    </dgm:pt>
    <dgm:pt modelId="{A9A65196-24AB-482B-A5D2-71FA18FFD767}" type="pres">
      <dgm:prSet presAssocID="{87008470-DFEE-462A-8F1E-E785BB479451}" presName="titleText2" presStyleLbl="fgAcc1" presStyleIdx="1" presStyleCnt="3">
        <dgm:presLayoutVars>
          <dgm:chMax val="0"/>
          <dgm:chPref val="0"/>
        </dgm:presLayoutVars>
      </dgm:prSet>
      <dgm:spPr/>
      <dgm:t>
        <a:bodyPr/>
        <a:lstStyle/>
        <a:p>
          <a:endParaRPr lang="fr-FR"/>
        </a:p>
      </dgm:t>
    </dgm:pt>
    <dgm:pt modelId="{DAD2D23A-6D55-4B75-A5D9-CB31B1139DB9}" type="pres">
      <dgm:prSet presAssocID="{87008470-DFEE-462A-8F1E-E785BB479451}" presName="rootConnector" presStyleLbl="node2" presStyleIdx="0" presStyleCnt="0"/>
      <dgm:spPr/>
      <dgm:t>
        <a:bodyPr/>
        <a:lstStyle/>
        <a:p>
          <a:endParaRPr lang="fr-FR"/>
        </a:p>
      </dgm:t>
    </dgm:pt>
    <dgm:pt modelId="{D1D7C378-77C7-4047-9E15-BF5D9B5F6EA9}" type="pres">
      <dgm:prSet presAssocID="{87008470-DFEE-462A-8F1E-E785BB479451}" presName="hierChild4" presStyleCnt="0"/>
      <dgm:spPr/>
    </dgm:pt>
    <dgm:pt modelId="{A0AC73EF-D087-42FC-B547-434BCF11290F}" type="pres">
      <dgm:prSet presAssocID="{87008470-DFEE-462A-8F1E-E785BB479451}" presName="hierChild5" presStyleCnt="0"/>
      <dgm:spPr/>
    </dgm:pt>
    <dgm:pt modelId="{D6A266D1-F4DE-4B91-BCAD-C034E1214F9B}" type="pres">
      <dgm:prSet presAssocID="{1AAE80A3-1484-48C3-9879-FAB3EF7331B9}" presName="Name37" presStyleLbl="parChTrans1D2" presStyleIdx="2" presStyleCnt="4"/>
      <dgm:spPr/>
      <dgm:t>
        <a:bodyPr/>
        <a:lstStyle/>
        <a:p>
          <a:endParaRPr lang="fr-FR"/>
        </a:p>
      </dgm:t>
    </dgm:pt>
    <dgm:pt modelId="{774970E0-F09D-4200-93E9-183965A8C7F7}" type="pres">
      <dgm:prSet presAssocID="{5DFBCB23-3085-4786-9E3D-241222755BF9}" presName="hierRoot2" presStyleCnt="0">
        <dgm:presLayoutVars>
          <dgm:hierBranch val="init"/>
        </dgm:presLayoutVars>
      </dgm:prSet>
      <dgm:spPr/>
    </dgm:pt>
    <dgm:pt modelId="{9EA77A46-8474-4313-95E9-557AAE60855B}" type="pres">
      <dgm:prSet presAssocID="{5DFBCB23-3085-4786-9E3D-241222755BF9}" presName="rootComposite" presStyleCnt="0"/>
      <dgm:spPr/>
    </dgm:pt>
    <dgm:pt modelId="{833E9C9A-361A-41A1-B955-3A17AC2966FD}" type="pres">
      <dgm:prSet presAssocID="{5DFBCB23-3085-4786-9E3D-241222755BF9}" presName="rootText" presStyleLbl="node1" presStyleIdx="2" presStyleCnt="3">
        <dgm:presLayoutVars>
          <dgm:chMax/>
          <dgm:chPref val="3"/>
        </dgm:presLayoutVars>
      </dgm:prSet>
      <dgm:spPr/>
      <dgm:t>
        <a:bodyPr/>
        <a:lstStyle/>
        <a:p>
          <a:endParaRPr lang="fr-FR"/>
        </a:p>
      </dgm:t>
    </dgm:pt>
    <dgm:pt modelId="{76743A3B-A772-4CDE-9DA1-08EAF1F29183}" type="pres">
      <dgm:prSet presAssocID="{5DFBCB23-3085-4786-9E3D-241222755BF9}" presName="titleText2" presStyleLbl="fgAcc1" presStyleIdx="2" presStyleCnt="3">
        <dgm:presLayoutVars>
          <dgm:chMax val="0"/>
          <dgm:chPref val="0"/>
        </dgm:presLayoutVars>
      </dgm:prSet>
      <dgm:spPr/>
      <dgm:t>
        <a:bodyPr/>
        <a:lstStyle/>
        <a:p>
          <a:endParaRPr lang="fr-FR"/>
        </a:p>
      </dgm:t>
    </dgm:pt>
    <dgm:pt modelId="{E3E91CE1-C1B2-48F9-AF5E-1783C9978252}" type="pres">
      <dgm:prSet presAssocID="{5DFBCB23-3085-4786-9E3D-241222755BF9}" presName="rootConnector" presStyleLbl="node2" presStyleIdx="0" presStyleCnt="0"/>
      <dgm:spPr/>
      <dgm:t>
        <a:bodyPr/>
        <a:lstStyle/>
        <a:p>
          <a:endParaRPr lang="fr-FR"/>
        </a:p>
      </dgm:t>
    </dgm:pt>
    <dgm:pt modelId="{1709A61E-4A0B-4614-896D-659AA27D3403}" type="pres">
      <dgm:prSet presAssocID="{5DFBCB23-3085-4786-9E3D-241222755BF9}" presName="hierChild4" presStyleCnt="0"/>
      <dgm:spPr/>
    </dgm:pt>
    <dgm:pt modelId="{C4941D57-28F5-45A4-896D-D8D7D1EABA76}" type="pres">
      <dgm:prSet presAssocID="{5DFBCB23-3085-4786-9E3D-241222755BF9}" presName="hierChild5" presStyleCnt="0"/>
      <dgm:spPr/>
    </dgm:pt>
    <dgm:pt modelId="{2629C0B4-680A-424B-8643-987688540CE9}" type="pres">
      <dgm:prSet presAssocID="{5A0B3C49-867D-48E2-8653-F7458DE90D5E}" presName="hierChild3" presStyleCnt="0"/>
      <dgm:spPr/>
    </dgm:pt>
    <dgm:pt modelId="{ECF63DB2-D512-4B24-A6D3-980A8C183B08}" type="pres">
      <dgm:prSet presAssocID="{BD459FAE-B4E8-414D-A8DC-41E3DFFBF4F4}" presName="Name96" presStyleLbl="parChTrans1D2" presStyleIdx="3" presStyleCnt="4"/>
      <dgm:spPr/>
      <dgm:t>
        <a:bodyPr/>
        <a:lstStyle/>
        <a:p>
          <a:endParaRPr lang="fr-FR"/>
        </a:p>
      </dgm:t>
    </dgm:pt>
    <dgm:pt modelId="{ECD97A9C-6815-4D48-829F-7ADCC11E1B02}" type="pres">
      <dgm:prSet presAssocID="{2ECA0F2F-CF58-4751-A0AA-2282700E41A5}" presName="hierRoot3" presStyleCnt="0">
        <dgm:presLayoutVars>
          <dgm:hierBranch val="init"/>
        </dgm:presLayoutVars>
      </dgm:prSet>
      <dgm:spPr/>
    </dgm:pt>
    <dgm:pt modelId="{C32DB147-D1B7-412E-9687-DEB6A89B8E28}" type="pres">
      <dgm:prSet presAssocID="{2ECA0F2F-CF58-4751-A0AA-2282700E41A5}" presName="rootComposite3" presStyleCnt="0"/>
      <dgm:spPr/>
    </dgm:pt>
    <dgm:pt modelId="{318CCCEF-13C4-47E7-8E2D-D80233E578B8}" type="pres">
      <dgm:prSet presAssocID="{2ECA0F2F-CF58-4751-A0AA-2282700E41A5}" presName="rootText3" presStyleLbl="asst1" presStyleIdx="0" presStyleCnt="1">
        <dgm:presLayoutVars>
          <dgm:chPref val="3"/>
        </dgm:presLayoutVars>
      </dgm:prSet>
      <dgm:spPr/>
      <dgm:t>
        <a:bodyPr/>
        <a:lstStyle/>
        <a:p>
          <a:endParaRPr lang="fr-FR"/>
        </a:p>
      </dgm:t>
    </dgm:pt>
    <dgm:pt modelId="{BF529785-C73C-4564-9DCD-E733BB6DE552}" type="pres">
      <dgm:prSet presAssocID="{2ECA0F2F-CF58-4751-A0AA-2282700E41A5}" presName="titleText3" presStyleLbl="fgAcc2" presStyleIdx="0" presStyleCnt="1">
        <dgm:presLayoutVars>
          <dgm:chMax val="0"/>
          <dgm:chPref val="0"/>
        </dgm:presLayoutVars>
      </dgm:prSet>
      <dgm:spPr/>
      <dgm:t>
        <a:bodyPr/>
        <a:lstStyle/>
        <a:p>
          <a:endParaRPr lang="fr-FR"/>
        </a:p>
      </dgm:t>
    </dgm:pt>
    <dgm:pt modelId="{B0090838-C148-4559-9459-0D481F8E7451}" type="pres">
      <dgm:prSet presAssocID="{2ECA0F2F-CF58-4751-A0AA-2282700E41A5}" presName="rootConnector3" presStyleLbl="asst1" presStyleIdx="0" presStyleCnt="1"/>
      <dgm:spPr/>
      <dgm:t>
        <a:bodyPr/>
        <a:lstStyle/>
        <a:p>
          <a:endParaRPr lang="fr-FR"/>
        </a:p>
      </dgm:t>
    </dgm:pt>
    <dgm:pt modelId="{BC2F8B94-1A9A-420A-8074-8630F40C5D3F}" type="pres">
      <dgm:prSet presAssocID="{2ECA0F2F-CF58-4751-A0AA-2282700E41A5}" presName="hierChild6" presStyleCnt="0"/>
      <dgm:spPr/>
    </dgm:pt>
    <dgm:pt modelId="{7F3A85C8-70F9-4158-9AE3-37C2776009D3}" type="pres">
      <dgm:prSet presAssocID="{2ECA0F2F-CF58-4751-A0AA-2282700E41A5}" presName="hierChild7" presStyleCnt="0"/>
      <dgm:spPr/>
    </dgm:pt>
  </dgm:ptLst>
  <dgm:cxnLst>
    <dgm:cxn modelId="{2B434979-1408-4313-97F2-A7657F314F64}" type="presOf" srcId="{FB5D7614-4CA6-452A-937A-BE117E74438A}" destId="{7801DFA3-BBBD-4CE6-985E-C07313380E00}" srcOrd="0" destOrd="0" presId="urn:microsoft.com/office/officeart/2008/layout/NameandTitleOrganizationalChart"/>
    <dgm:cxn modelId="{DFB735B2-8C72-48CB-9B4C-C030EA3AA142}" srcId="{5A0B3C49-867D-48E2-8653-F7458DE90D5E}" destId="{FB5D7614-4CA6-452A-937A-BE117E74438A}" srcOrd="1" destOrd="0" parTransId="{0E7EFD4C-EB6A-48CE-BEA5-6254580FD32D}" sibTransId="{A5249CFB-6907-4E59-9422-5A88C6324E41}"/>
    <dgm:cxn modelId="{C51E0B15-E83B-4B39-8A39-78E92E7B0444}" srcId="{5A0B3C49-867D-48E2-8653-F7458DE90D5E}" destId="{87008470-DFEE-462A-8F1E-E785BB479451}" srcOrd="2" destOrd="0" parTransId="{69CF6A63-A800-4FEC-97CB-A834C9A76BFD}" sibTransId="{EC8A2CB6-9B35-4B7D-83AF-A25BE23A2F0C}"/>
    <dgm:cxn modelId="{D69278DE-BEBD-4E86-A5E0-F75026BEE6E7}" type="presOf" srcId="{87008470-DFEE-462A-8F1E-E785BB479451}" destId="{DAD2D23A-6D55-4B75-A5D9-CB31B1139DB9}" srcOrd="1" destOrd="0" presId="urn:microsoft.com/office/officeart/2008/layout/NameandTitleOrganizationalChart"/>
    <dgm:cxn modelId="{DD04164A-E7BD-4208-9EC1-A0E442DDDD08}" type="presOf" srcId="{4E3C043C-CDA7-4766-A9F0-8590C90C5D4E}" destId="{76743A3B-A772-4CDE-9DA1-08EAF1F29183}" srcOrd="0" destOrd="0" presId="urn:microsoft.com/office/officeart/2008/layout/NameandTitleOrganizationalChart"/>
    <dgm:cxn modelId="{08994744-A48C-4828-8A82-2A8F55422757}" type="presOf" srcId="{5A0B3C49-867D-48E2-8653-F7458DE90D5E}" destId="{55FC5B51-CCC8-4AE9-95E3-D4163D2B5AC9}" srcOrd="1" destOrd="0" presId="urn:microsoft.com/office/officeart/2008/layout/NameandTitleOrganizationalChart"/>
    <dgm:cxn modelId="{80D1D020-10F7-4DC7-AF93-1FAF532B356F}" type="presOf" srcId="{4636445C-9C6F-4362-BC7B-7B0714DE9567}" destId="{5B48AA32-76D5-44A3-8BD1-83692E959ADA}" srcOrd="0" destOrd="0" presId="urn:microsoft.com/office/officeart/2008/layout/NameandTitleOrganizationalChart"/>
    <dgm:cxn modelId="{0337B7FD-2E03-4A1F-B4F8-78C39B74CA7E}" type="presOf" srcId="{EC8A2CB6-9B35-4B7D-83AF-A25BE23A2F0C}" destId="{A9A65196-24AB-482B-A5D2-71FA18FFD767}" srcOrd="0" destOrd="0" presId="urn:microsoft.com/office/officeart/2008/layout/NameandTitleOrganizationalChart"/>
    <dgm:cxn modelId="{A8EDB9FF-8A3B-43F8-981B-6424A5236478}" type="presOf" srcId="{BD459FAE-B4E8-414D-A8DC-41E3DFFBF4F4}" destId="{ECF63DB2-D512-4B24-A6D3-980A8C183B08}" srcOrd="0" destOrd="0" presId="urn:microsoft.com/office/officeart/2008/layout/NameandTitleOrganizationalChart"/>
    <dgm:cxn modelId="{C76EF5C3-08BA-4D5E-A238-35995F609B86}" type="presOf" srcId="{2ECA0F2F-CF58-4751-A0AA-2282700E41A5}" destId="{318CCCEF-13C4-47E7-8E2D-D80233E578B8}" srcOrd="0" destOrd="0" presId="urn:microsoft.com/office/officeart/2008/layout/NameandTitleOrganizationalChart"/>
    <dgm:cxn modelId="{87FE2CDF-7A22-48EC-87B5-5551DB6AA049}" type="presOf" srcId="{2ECA0F2F-CF58-4751-A0AA-2282700E41A5}" destId="{B0090838-C148-4559-9459-0D481F8E7451}" srcOrd="1" destOrd="0" presId="urn:microsoft.com/office/officeart/2008/layout/NameandTitleOrganizationalChart"/>
    <dgm:cxn modelId="{7E87F62A-5970-4807-8BE4-238971EA9218}" srcId="{1372C20B-DC98-4C02-AEFC-1E5BD93120A2}" destId="{5A0B3C49-867D-48E2-8653-F7458DE90D5E}" srcOrd="0" destOrd="0" parTransId="{EF4BBEF9-9ADF-48CD-9639-56DE886EB538}" sibTransId="{4636445C-9C6F-4362-BC7B-7B0714DE9567}"/>
    <dgm:cxn modelId="{05124BE8-728D-461D-8ADF-A0C162F677F6}" type="presOf" srcId="{69CF6A63-A800-4FEC-97CB-A834C9A76BFD}" destId="{2097F661-66FB-4207-AFB9-3D0482DEFB65}" srcOrd="0" destOrd="0" presId="urn:microsoft.com/office/officeart/2008/layout/NameandTitleOrganizationalChart"/>
    <dgm:cxn modelId="{EC1E4A50-F28E-4689-822B-E98A91159884}" type="presOf" srcId="{FB5D7614-4CA6-452A-937A-BE117E74438A}" destId="{FD4431B4-6BD3-4B1E-BBA6-2096B453DC63}" srcOrd="1" destOrd="0" presId="urn:microsoft.com/office/officeart/2008/layout/NameandTitleOrganizationalChart"/>
    <dgm:cxn modelId="{CC2EAD89-9AC1-48EB-AFFB-7A1AE21E9D25}" type="presOf" srcId="{AB347C89-388F-40C8-A47A-F88F7CCEC621}" destId="{BF529785-C73C-4564-9DCD-E733BB6DE552}" srcOrd="0" destOrd="0" presId="urn:microsoft.com/office/officeart/2008/layout/NameandTitleOrganizationalChart"/>
    <dgm:cxn modelId="{29FABF0C-C117-4839-A39D-BA046D878B8D}" type="presOf" srcId="{87008470-DFEE-462A-8F1E-E785BB479451}" destId="{589784D8-8B1A-4E9E-B9D5-2DCB003391E6}" srcOrd="0" destOrd="0" presId="urn:microsoft.com/office/officeart/2008/layout/NameandTitleOrganizationalChart"/>
    <dgm:cxn modelId="{660318B6-A600-420D-B1B1-FA828CD89773}" type="presOf" srcId="{0E7EFD4C-EB6A-48CE-BEA5-6254580FD32D}" destId="{56AE553C-EAD9-4A73-85B5-48B3437227E4}" srcOrd="0" destOrd="0" presId="urn:microsoft.com/office/officeart/2008/layout/NameandTitleOrganizationalChart"/>
    <dgm:cxn modelId="{15F63B7F-FF6B-448B-A10D-4ABE59C8DDA5}" type="presOf" srcId="{1372C20B-DC98-4C02-AEFC-1E5BD93120A2}" destId="{DC37EB16-1FC5-4A72-818B-393DD212D13C}" srcOrd="0" destOrd="0" presId="urn:microsoft.com/office/officeart/2008/layout/NameandTitleOrganizationalChart"/>
    <dgm:cxn modelId="{F8328721-C766-4BA7-9535-59B3596BFD41}" srcId="{5A0B3C49-867D-48E2-8653-F7458DE90D5E}" destId="{5DFBCB23-3085-4786-9E3D-241222755BF9}" srcOrd="3" destOrd="0" parTransId="{1AAE80A3-1484-48C3-9879-FAB3EF7331B9}" sibTransId="{4E3C043C-CDA7-4766-A9F0-8590C90C5D4E}"/>
    <dgm:cxn modelId="{A3172132-A1E7-482A-9FF6-EB0649EC1B3D}" type="presOf" srcId="{5DFBCB23-3085-4786-9E3D-241222755BF9}" destId="{E3E91CE1-C1B2-48F9-AF5E-1783C9978252}" srcOrd="1" destOrd="0" presId="urn:microsoft.com/office/officeart/2008/layout/NameandTitleOrganizationalChart"/>
    <dgm:cxn modelId="{381657D6-2857-4FE7-8B05-36735EB77927}" srcId="{5A0B3C49-867D-48E2-8653-F7458DE90D5E}" destId="{2ECA0F2F-CF58-4751-A0AA-2282700E41A5}" srcOrd="0" destOrd="0" parTransId="{BD459FAE-B4E8-414D-A8DC-41E3DFFBF4F4}" sibTransId="{AB347C89-388F-40C8-A47A-F88F7CCEC621}"/>
    <dgm:cxn modelId="{A165A12F-F03D-4D91-B5C9-D9316AB44AD0}" type="presOf" srcId="{1AAE80A3-1484-48C3-9879-FAB3EF7331B9}" destId="{D6A266D1-F4DE-4B91-BCAD-C034E1214F9B}" srcOrd="0" destOrd="0" presId="urn:microsoft.com/office/officeart/2008/layout/NameandTitleOrganizationalChart"/>
    <dgm:cxn modelId="{4D15F637-441A-4D7D-A74D-11D880705171}" type="presOf" srcId="{A5249CFB-6907-4E59-9422-5A88C6324E41}" destId="{FBDFC307-5111-400B-BFFD-E92C1395C6FF}" srcOrd="0" destOrd="0" presId="urn:microsoft.com/office/officeart/2008/layout/NameandTitleOrganizationalChart"/>
    <dgm:cxn modelId="{F544C69B-5265-4290-86BE-88E782837831}" type="presOf" srcId="{5A0B3C49-867D-48E2-8653-F7458DE90D5E}" destId="{02F2B83D-64F9-4D18-A76C-EC3ABA8583BA}" srcOrd="0" destOrd="0" presId="urn:microsoft.com/office/officeart/2008/layout/NameandTitleOrganizationalChart"/>
    <dgm:cxn modelId="{AAEAB5F8-F9C3-48E4-A2EC-4A7E9CB96419}" type="presOf" srcId="{5DFBCB23-3085-4786-9E3D-241222755BF9}" destId="{833E9C9A-361A-41A1-B955-3A17AC2966FD}" srcOrd="0" destOrd="0" presId="urn:microsoft.com/office/officeart/2008/layout/NameandTitleOrganizationalChart"/>
    <dgm:cxn modelId="{36D5EFCB-BB95-4AAB-A280-AB878C96E3B2}" type="presParOf" srcId="{DC37EB16-1FC5-4A72-818B-393DD212D13C}" destId="{5A557EB7-A8F9-44C2-9188-B69CEDFCDBC8}" srcOrd="0" destOrd="0" presId="urn:microsoft.com/office/officeart/2008/layout/NameandTitleOrganizationalChart"/>
    <dgm:cxn modelId="{21F8F901-D7CC-4205-A8F0-21BC01498F8F}" type="presParOf" srcId="{5A557EB7-A8F9-44C2-9188-B69CEDFCDBC8}" destId="{5E91E001-0CE4-4786-9B7C-892D23D31D7B}" srcOrd="0" destOrd="0" presId="urn:microsoft.com/office/officeart/2008/layout/NameandTitleOrganizationalChart"/>
    <dgm:cxn modelId="{F0C9B306-265A-4C3B-AF80-0C89DE870327}" type="presParOf" srcId="{5E91E001-0CE4-4786-9B7C-892D23D31D7B}" destId="{02F2B83D-64F9-4D18-A76C-EC3ABA8583BA}" srcOrd="0" destOrd="0" presId="urn:microsoft.com/office/officeart/2008/layout/NameandTitleOrganizationalChart"/>
    <dgm:cxn modelId="{42AEA9EB-2570-4C9C-B361-96EB3E6EC5E0}" type="presParOf" srcId="{5E91E001-0CE4-4786-9B7C-892D23D31D7B}" destId="{5B48AA32-76D5-44A3-8BD1-83692E959ADA}" srcOrd="1" destOrd="0" presId="urn:microsoft.com/office/officeart/2008/layout/NameandTitleOrganizationalChart"/>
    <dgm:cxn modelId="{1B3D3C7D-E19A-4EA8-8C23-84865A61038F}" type="presParOf" srcId="{5E91E001-0CE4-4786-9B7C-892D23D31D7B}" destId="{55FC5B51-CCC8-4AE9-95E3-D4163D2B5AC9}" srcOrd="2" destOrd="0" presId="urn:microsoft.com/office/officeart/2008/layout/NameandTitleOrganizationalChart"/>
    <dgm:cxn modelId="{7F251868-7E86-4697-A683-7E20C21DFCCD}" type="presParOf" srcId="{5A557EB7-A8F9-44C2-9188-B69CEDFCDBC8}" destId="{6E534A21-61BC-4846-B9C8-3EE01BF25D13}" srcOrd="1" destOrd="0" presId="urn:microsoft.com/office/officeart/2008/layout/NameandTitleOrganizationalChart"/>
    <dgm:cxn modelId="{712E47E2-E561-4F2F-B7B2-C00C6E68B805}" type="presParOf" srcId="{6E534A21-61BC-4846-B9C8-3EE01BF25D13}" destId="{56AE553C-EAD9-4A73-85B5-48B3437227E4}" srcOrd="0" destOrd="0" presId="urn:microsoft.com/office/officeart/2008/layout/NameandTitleOrganizationalChart"/>
    <dgm:cxn modelId="{0EAD8B60-EE04-4BE5-AF41-AE10FB094188}" type="presParOf" srcId="{6E534A21-61BC-4846-B9C8-3EE01BF25D13}" destId="{9BEC230A-BB20-4147-8BA3-373C920C2D2A}" srcOrd="1" destOrd="0" presId="urn:microsoft.com/office/officeart/2008/layout/NameandTitleOrganizationalChart"/>
    <dgm:cxn modelId="{8FCCE1CC-8FE2-4793-ABA2-12B9D6DA52A0}" type="presParOf" srcId="{9BEC230A-BB20-4147-8BA3-373C920C2D2A}" destId="{C84E757B-5255-4A80-810F-DF9C3FF75510}" srcOrd="0" destOrd="0" presId="urn:microsoft.com/office/officeart/2008/layout/NameandTitleOrganizationalChart"/>
    <dgm:cxn modelId="{D332936D-0BF5-4F3C-BF06-2CA9DFA8A7F0}" type="presParOf" srcId="{C84E757B-5255-4A80-810F-DF9C3FF75510}" destId="{7801DFA3-BBBD-4CE6-985E-C07313380E00}" srcOrd="0" destOrd="0" presId="urn:microsoft.com/office/officeart/2008/layout/NameandTitleOrganizationalChart"/>
    <dgm:cxn modelId="{CF35839C-31C7-42AA-8514-817C889BAF00}" type="presParOf" srcId="{C84E757B-5255-4A80-810F-DF9C3FF75510}" destId="{FBDFC307-5111-400B-BFFD-E92C1395C6FF}" srcOrd="1" destOrd="0" presId="urn:microsoft.com/office/officeart/2008/layout/NameandTitleOrganizationalChart"/>
    <dgm:cxn modelId="{E272305F-44BE-4FAA-B520-B15632021BDF}" type="presParOf" srcId="{C84E757B-5255-4A80-810F-DF9C3FF75510}" destId="{FD4431B4-6BD3-4B1E-BBA6-2096B453DC63}" srcOrd="2" destOrd="0" presId="urn:microsoft.com/office/officeart/2008/layout/NameandTitleOrganizationalChart"/>
    <dgm:cxn modelId="{9B1EBAAE-3C86-49D5-8B84-6728DC3CC469}" type="presParOf" srcId="{9BEC230A-BB20-4147-8BA3-373C920C2D2A}" destId="{9417569F-67B2-44F1-BEDC-AE77D69B5CDD}" srcOrd="1" destOrd="0" presId="urn:microsoft.com/office/officeart/2008/layout/NameandTitleOrganizationalChart"/>
    <dgm:cxn modelId="{FB285D23-1505-400B-BEB0-301221D25A74}" type="presParOf" srcId="{9BEC230A-BB20-4147-8BA3-373C920C2D2A}" destId="{744477ED-7EC2-4783-A86A-07A072B57802}" srcOrd="2" destOrd="0" presId="urn:microsoft.com/office/officeart/2008/layout/NameandTitleOrganizationalChart"/>
    <dgm:cxn modelId="{484A289A-04E0-4B6E-9CE9-C7ACB7E4B778}" type="presParOf" srcId="{6E534A21-61BC-4846-B9C8-3EE01BF25D13}" destId="{2097F661-66FB-4207-AFB9-3D0482DEFB65}" srcOrd="2" destOrd="0" presId="urn:microsoft.com/office/officeart/2008/layout/NameandTitleOrganizationalChart"/>
    <dgm:cxn modelId="{5764E9D7-45C6-4D88-AEE9-F3CB59CF3FB5}" type="presParOf" srcId="{6E534A21-61BC-4846-B9C8-3EE01BF25D13}" destId="{C9F961B9-872F-44AE-90CF-1D0CB6E27897}" srcOrd="3" destOrd="0" presId="urn:microsoft.com/office/officeart/2008/layout/NameandTitleOrganizationalChart"/>
    <dgm:cxn modelId="{9BE97CAC-9514-4879-97D7-A4DA31FE1B89}" type="presParOf" srcId="{C9F961B9-872F-44AE-90CF-1D0CB6E27897}" destId="{E82377B8-0D3F-4F2C-AC6A-42C6B2D71625}" srcOrd="0" destOrd="0" presId="urn:microsoft.com/office/officeart/2008/layout/NameandTitleOrganizationalChart"/>
    <dgm:cxn modelId="{586E0BBC-95E4-45BD-8887-C7FA6D49CA09}" type="presParOf" srcId="{E82377B8-0D3F-4F2C-AC6A-42C6B2D71625}" destId="{589784D8-8B1A-4E9E-B9D5-2DCB003391E6}" srcOrd="0" destOrd="0" presId="urn:microsoft.com/office/officeart/2008/layout/NameandTitleOrganizationalChart"/>
    <dgm:cxn modelId="{F0897C2B-CE86-491C-B86F-BBA562D940D7}" type="presParOf" srcId="{E82377B8-0D3F-4F2C-AC6A-42C6B2D71625}" destId="{A9A65196-24AB-482B-A5D2-71FA18FFD767}" srcOrd="1" destOrd="0" presId="urn:microsoft.com/office/officeart/2008/layout/NameandTitleOrganizationalChart"/>
    <dgm:cxn modelId="{5CC28AFA-0AB8-4486-A97D-069D5C7132BA}" type="presParOf" srcId="{E82377B8-0D3F-4F2C-AC6A-42C6B2D71625}" destId="{DAD2D23A-6D55-4B75-A5D9-CB31B1139DB9}" srcOrd="2" destOrd="0" presId="urn:microsoft.com/office/officeart/2008/layout/NameandTitleOrganizationalChart"/>
    <dgm:cxn modelId="{D4CBC5C2-4A86-4AEA-8AC8-F11D037CA10F}" type="presParOf" srcId="{C9F961B9-872F-44AE-90CF-1D0CB6E27897}" destId="{D1D7C378-77C7-4047-9E15-BF5D9B5F6EA9}" srcOrd="1" destOrd="0" presId="urn:microsoft.com/office/officeart/2008/layout/NameandTitleOrganizationalChart"/>
    <dgm:cxn modelId="{4D138FB4-406C-489A-8AF2-4B6BBA0F9A6E}" type="presParOf" srcId="{C9F961B9-872F-44AE-90CF-1D0CB6E27897}" destId="{A0AC73EF-D087-42FC-B547-434BCF11290F}" srcOrd="2" destOrd="0" presId="urn:microsoft.com/office/officeart/2008/layout/NameandTitleOrganizationalChart"/>
    <dgm:cxn modelId="{69B40500-DA35-4037-9E08-5A9901970262}" type="presParOf" srcId="{6E534A21-61BC-4846-B9C8-3EE01BF25D13}" destId="{D6A266D1-F4DE-4B91-BCAD-C034E1214F9B}" srcOrd="4" destOrd="0" presId="urn:microsoft.com/office/officeart/2008/layout/NameandTitleOrganizationalChart"/>
    <dgm:cxn modelId="{DE5051E7-750B-40BC-88E4-01250D733686}" type="presParOf" srcId="{6E534A21-61BC-4846-B9C8-3EE01BF25D13}" destId="{774970E0-F09D-4200-93E9-183965A8C7F7}" srcOrd="5" destOrd="0" presId="urn:microsoft.com/office/officeart/2008/layout/NameandTitleOrganizationalChart"/>
    <dgm:cxn modelId="{36B31B8C-F052-4256-9A73-9BCD21886AC3}" type="presParOf" srcId="{774970E0-F09D-4200-93E9-183965A8C7F7}" destId="{9EA77A46-8474-4313-95E9-557AAE60855B}" srcOrd="0" destOrd="0" presId="urn:microsoft.com/office/officeart/2008/layout/NameandTitleOrganizationalChart"/>
    <dgm:cxn modelId="{061249F5-E22B-4E0D-A295-BFF5A8D6B717}" type="presParOf" srcId="{9EA77A46-8474-4313-95E9-557AAE60855B}" destId="{833E9C9A-361A-41A1-B955-3A17AC2966FD}" srcOrd="0" destOrd="0" presId="urn:microsoft.com/office/officeart/2008/layout/NameandTitleOrganizationalChart"/>
    <dgm:cxn modelId="{CAF6D2A3-4330-42B0-93B8-2EEF50218D47}" type="presParOf" srcId="{9EA77A46-8474-4313-95E9-557AAE60855B}" destId="{76743A3B-A772-4CDE-9DA1-08EAF1F29183}" srcOrd="1" destOrd="0" presId="urn:microsoft.com/office/officeart/2008/layout/NameandTitleOrganizationalChart"/>
    <dgm:cxn modelId="{EEEC3807-7800-4D17-9351-9917F60825BB}" type="presParOf" srcId="{9EA77A46-8474-4313-95E9-557AAE60855B}" destId="{E3E91CE1-C1B2-48F9-AF5E-1783C9978252}" srcOrd="2" destOrd="0" presId="urn:microsoft.com/office/officeart/2008/layout/NameandTitleOrganizationalChart"/>
    <dgm:cxn modelId="{3F9C41ED-8ED3-4FB6-9957-2BC067E5F6B6}" type="presParOf" srcId="{774970E0-F09D-4200-93E9-183965A8C7F7}" destId="{1709A61E-4A0B-4614-896D-659AA27D3403}" srcOrd="1" destOrd="0" presId="urn:microsoft.com/office/officeart/2008/layout/NameandTitleOrganizationalChart"/>
    <dgm:cxn modelId="{FBF0181D-6A88-47F8-BF6C-32F28F526DF3}" type="presParOf" srcId="{774970E0-F09D-4200-93E9-183965A8C7F7}" destId="{C4941D57-28F5-45A4-896D-D8D7D1EABA76}" srcOrd="2" destOrd="0" presId="urn:microsoft.com/office/officeart/2008/layout/NameandTitleOrganizationalChart"/>
    <dgm:cxn modelId="{FA8161D2-570B-41B6-BDEB-3EAE93761D36}" type="presParOf" srcId="{5A557EB7-A8F9-44C2-9188-B69CEDFCDBC8}" destId="{2629C0B4-680A-424B-8643-987688540CE9}" srcOrd="2" destOrd="0" presId="urn:microsoft.com/office/officeart/2008/layout/NameandTitleOrganizationalChart"/>
    <dgm:cxn modelId="{DAB2C3A2-17D8-4E21-AA72-BC101186BACC}" type="presParOf" srcId="{2629C0B4-680A-424B-8643-987688540CE9}" destId="{ECF63DB2-D512-4B24-A6D3-980A8C183B08}" srcOrd="0" destOrd="0" presId="urn:microsoft.com/office/officeart/2008/layout/NameandTitleOrganizationalChart"/>
    <dgm:cxn modelId="{4261AC54-83BF-45E7-8C83-3B0298D0D94A}" type="presParOf" srcId="{2629C0B4-680A-424B-8643-987688540CE9}" destId="{ECD97A9C-6815-4D48-829F-7ADCC11E1B02}" srcOrd="1" destOrd="0" presId="urn:microsoft.com/office/officeart/2008/layout/NameandTitleOrganizationalChart"/>
    <dgm:cxn modelId="{A25F003E-772C-4970-A009-2A41A1B6FBB3}" type="presParOf" srcId="{ECD97A9C-6815-4D48-829F-7ADCC11E1B02}" destId="{C32DB147-D1B7-412E-9687-DEB6A89B8E28}" srcOrd="0" destOrd="0" presId="urn:microsoft.com/office/officeart/2008/layout/NameandTitleOrganizationalChart"/>
    <dgm:cxn modelId="{0AD58E98-A765-4FD9-97F0-B404A6C4E3EE}" type="presParOf" srcId="{C32DB147-D1B7-412E-9687-DEB6A89B8E28}" destId="{318CCCEF-13C4-47E7-8E2D-D80233E578B8}" srcOrd="0" destOrd="0" presId="urn:microsoft.com/office/officeart/2008/layout/NameandTitleOrganizationalChart"/>
    <dgm:cxn modelId="{22F6D598-5A23-431A-BA7E-EF0EAE7A4E22}" type="presParOf" srcId="{C32DB147-D1B7-412E-9687-DEB6A89B8E28}" destId="{BF529785-C73C-4564-9DCD-E733BB6DE552}" srcOrd="1" destOrd="0" presId="urn:microsoft.com/office/officeart/2008/layout/NameandTitleOrganizationalChart"/>
    <dgm:cxn modelId="{F60611F8-55FF-435B-AF6A-7AD106AB5D04}" type="presParOf" srcId="{C32DB147-D1B7-412E-9687-DEB6A89B8E28}" destId="{B0090838-C148-4559-9459-0D481F8E7451}" srcOrd="2" destOrd="0" presId="urn:microsoft.com/office/officeart/2008/layout/NameandTitleOrganizationalChart"/>
    <dgm:cxn modelId="{0A7D06DA-1571-48D3-9562-362C874C7552}" type="presParOf" srcId="{ECD97A9C-6815-4D48-829F-7ADCC11E1B02}" destId="{BC2F8B94-1A9A-420A-8074-8630F40C5D3F}" srcOrd="1" destOrd="0" presId="urn:microsoft.com/office/officeart/2008/layout/NameandTitleOrganizationalChart"/>
    <dgm:cxn modelId="{4D8E7A64-C31C-49CE-90B3-BB306D4981E9}" type="presParOf" srcId="{ECD97A9C-6815-4D48-829F-7ADCC11E1B02}" destId="{7F3A85C8-70F9-4158-9AE3-37C2776009D3}"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63DB2-D512-4B24-A6D3-980A8C183B08}">
      <dsp:nvSpPr>
        <dsp:cNvPr id="0" name=""/>
        <dsp:cNvSpPr/>
      </dsp:nvSpPr>
      <dsp:spPr>
        <a:xfrm>
          <a:off x="2148002" y="511305"/>
          <a:ext cx="168257" cy="549688"/>
        </a:xfrm>
        <a:custGeom>
          <a:avLst/>
          <a:gdLst/>
          <a:ahLst/>
          <a:cxnLst/>
          <a:rect l="0" t="0" r="0" b="0"/>
          <a:pathLst>
            <a:path>
              <a:moveTo>
                <a:pt x="168257" y="0"/>
              </a:moveTo>
              <a:lnTo>
                <a:pt x="168257" y="549688"/>
              </a:lnTo>
              <a:lnTo>
                <a:pt x="0" y="549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266D1-F4DE-4B91-BCAD-C034E1214F9B}">
      <dsp:nvSpPr>
        <dsp:cNvPr id="0" name=""/>
        <dsp:cNvSpPr/>
      </dsp:nvSpPr>
      <dsp:spPr>
        <a:xfrm>
          <a:off x="2316259" y="511305"/>
          <a:ext cx="1321575" cy="1099377"/>
        </a:xfrm>
        <a:custGeom>
          <a:avLst/>
          <a:gdLst/>
          <a:ahLst/>
          <a:cxnLst/>
          <a:rect l="0" t="0" r="0" b="0"/>
          <a:pathLst>
            <a:path>
              <a:moveTo>
                <a:pt x="0" y="0"/>
              </a:moveTo>
              <a:lnTo>
                <a:pt x="0" y="980372"/>
              </a:lnTo>
              <a:lnTo>
                <a:pt x="1321575" y="980372"/>
              </a:lnTo>
              <a:lnTo>
                <a:pt x="1321575" y="10993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7F661-66FB-4207-AFB9-3D0482DEFB65}">
      <dsp:nvSpPr>
        <dsp:cNvPr id="0" name=""/>
        <dsp:cNvSpPr/>
      </dsp:nvSpPr>
      <dsp:spPr>
        <a:xfrm>
          <a:off x="2270539" y="511305"/>
          <a:ext cx="91440" cy="1099377"/>
        </a:xfrm>
        <a:custGeom>
          <a:avLst/>
          <a:gdLst/>
          <a:ahLst/>
          <a:cxnLst/>
          <a:rect l="0" t="0" r="0" b="0"/>
          <a:pathLst>
            <a:path>
              <a:moveTo>
                <a:pt x="45720" y="0"/>
              </a:moveTo>
              <a:lnTo>
                <a:pt x="45720" y="10993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E553C-EAD9-4A73-85B5-48B3437227E4}">
      <dsp:nvSpPr>
        <dsp:cNvPr id="0" name=""/>
        <dsp:cNvSpPr/>
      </dsp:nvSpPr>
      <dsp:spPr>
        <a:xfrm>
          <a:off x="994684" y="511305"/>
          <a:ext cx="1321575" cy="1099377"/>
        </a:xfrm>
        <a:custGeom>
          <a:avLst/>
          <a:gdLst/>
          <a:ahLst/>
          <a:cxnLst/>
          <a:rect l="0" t="0" r="0" b="0"/>
          <a:pathLst>
            <a:path>
              <a:moveTo>
                <a:pt x="1321575" y="0"/>
              </a:moveTo>
              <a:lnTo>
                <a:pt x="1321575" y="980372"/>
              </a:lnTo>
              <a:lnTo>
                <a:pt x="0" y="980372"/>
              </a:lnTo>
              <a:lnTo>
                <a:pt x="0" y="10993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F2B83D-64F9-4D18-A76C-EC3ABA8583BA}">
      <dsp:nvSpPr>
        <dsp:cNvPr id="0" name=""/>
        <dsp:cNvSpPr/>
      </dsp:nvSpPr>
      <dsp:spPr>
        <a:xfrm>
          <a:off x="1823729" y="1284"/>
          <a:ext cx="985060" cy="5100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71970" numCol="1" spcCol="1270" anchor="ctr" anchorCtr="0">
          <a:noAutofit/>
        </a:bodyPr>
        <a:lstStyle/>
        <a:p>
          <a:pPr lvl="0" algn="ctr" defTabSz="1155700">
            <a:lnSpc>
              <a:spcPct val="90000"/>
            </a:lnSpc>
            <a:spcBef>
              <a:spcPct val="0"/>
            </a:spcBef>
            <a:spcAft>
              <a:spcPct val="35000"/>
            </a:spcAft>
          </a:pPr>
          <a:endParaRPr lang="fr-FR" sz="2600" kern="1200"/>
        </a:p>
      </dsp:txBody>
      <dsp:txXfrm>
        <a:off x="1823729" y="1284"/>
        <a:ext cx="985060" cy="510020"/>
      </dsp:txXfrm>
    </dsp:sp>
    <dsp:sp modelId="{5B48AA32-76D5-44A3-8BD1-83692E959ADA}">
      <dsp:nvSpPr>
        <dsp:cNvPr id="0" name=""/>
        <dsp:cNvSpPr/>
      </dsp:nvSpPr>
      <dsp:spPr>
        <a:xfrm>
          <a:off x="2020741" y="397967"/>
          <a:ext cx="886554" cy="17000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fr-FR" sz="800" kern="1200"/>
            <a:t>Quantitative  easing</a:t>
          </a:r>
        </a:p>
      </dsp:txBody>
      <dsp:txXfrm>
        <a:off x="2020741" y="397967"/>
        <a:ext cx="886554" cy="170006"/>
      </dsp:txXfrm>
    </dsp:sp>
    <dsp:sp modelId="{7801DFA3-BBBD-4CE6-985E-C07313380E00}">
      <dsp:nvSpPr>
        <dsp:cNvPr id="0" name=""/>
        <dsp:cNvSpPr/>
      </dsp:nvSpPr>
      <dsp:spPr>
        <a:xfrm>
          <a:off x="502154" y="1610682"/>
          <a:ext cx="985060" cy="5100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71970" numCol="1" spcCol="1270" anchor="ctr" anchorCtr="0">
          <a:noAutofit/>
        </a:bodyPr>
        <a:lstStyle/>
        <a:p>
          <a:pPr lvl="0" algn="ctr" defTabSz="1155700">
            <a:lnSpc>
              <a:spcPct val="90000"/>
            </a:lnSpc>
            <a:spcBef>
              <a:spcPct val="0"/>
            </a:spcBef>
            <a:spcAft>
              <a:spcPct val="35000"/>
            </a:spcAft>
          </a:pPr>
          <a:endParaRPr lang="fr-FR" sz="2600" kern="1200"/>
        </a:p>
      </dsp:txBody>
      <dsp:txXfrm>
        <a:off x="502154" y="1610682"/>
        <a:ext cx="985060" cy="510020"/>
      </dsp:txXfrm>
    </dsp:sp>
    <dsp:sp modelId="{FBDFC307-5111-400B-BFFD-E92C1395C6FF}">
      <dsp:nvSpPr>
        <dsp:cNvPr id="0" name=""/>
        <dsp:cNvSpPr/>
      </dsp:nvSpPr>
      <dsp:spPr>
        <a:xfrm>
          <a:off x="699166" y="2007365"/>
          <a:ext cx="886554" cy="17000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fr-FR" sz="1100" kern="1200"/>
        </a:p>
      </dsp:txBody>
      <dsp:txXfrm>
        <a:off x="699166" y="2007365"/>
        <a:ext cx="886554" cy="170006"/>
      </dsp:txXfrm>
    </dsp:sp>
    <dsp:sp modelId="{589784D8-8B1A-4E9E-B9D5-2DCB003391E6}">
      <dsp:nvSpPr>
        <dsp:cNvPr id="0" name=""/>
        <dsp:cNvSpPr/>
      </dsp:nvSpPr>
      <dsp:spPr>
        <a:xfrm>
          <a:off x="1823729" y="1610682"/>
          <a:ext cx="985060" cy="5100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71970" numCol="1" spcCol="1270" anchor="ctr" anchorCtr="0">
          <a:noAutofit/>
        </a:bodyPr>
        <a:lstStyle/>
        <a:p>
          <a:pPr lvl="0" algn="ctr" defTabSz="1155700">
            <a:lnSpc>
              <a:spcPct val="90000"/>
            </a:lnSpc>
            <a:spcBef>
              <a:spcPct val="0"/>
            </a:spcBef>
            <a:spcAft>
              <a:spcPct val="35000"/>
            </a:spcAft>
          </a:pPr>
          <a:endParaRPr lang="fr-FR" sz="2600" kern="1200"/>
        </a:p>
      </dsp:txBody>
      <dsp:txXfrm>
        <a:off x="1823729" y="1610682"/>
        <a:ext cx="985060" cy="510020"/>
      </dsp:txXfrm>
    </dsp:sp>
    <dsp:sp modelId="{A9A65196-24AB-482B-A5D2-71FA18FFD767}">
      <dsp:nvSpPr>
        <dsp:cNvPr id="0" name=""/>
        <dsp:cNvSpPr/>
      </dsp:nvSpPr>
      <dsp:spPr>
        <a:xfrm>
          <a:off x="2020741" y="2007365"/>
          <a:ext cx="886554" cy="17000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fr-FR" sz="1100" kern="1200"/>
        </a:p>
      </dsp:txBody>
      <dsp:txXfrm>
        <a:off x="2020741" y="2007365"/>
        <a:ext cx="886554" cy="170006"/>
      </dsp:txXfrm>
    </dsp:sp>
    <dsp:sp modelId="{833E9C9A-361A-41A1-B955-3A17AC2966FD}">
      <dsp:nvSpPr>
        <dsp:cNvPr id="0" name=""/>
        <dsp:cNvSpPr/>
      </dsp:nvSpPr>
      <dsp:spPr>
        <a:xfrm>
          <a:off x="3145305" y="1610682"/>
          <a:ext cx="985060" cy="5100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71970" numCol="1" spcCol="1270" anchor="ctr" anchorCtr="0">
          <a:noAutofit/>
        </a:bodyPr>
        <a:lstStyle/>
        <a:p>
          <a:pPr lvl="0" algn="ctr" defTabSz="1155700">
            <a:lnSpc>
              <a:spcPct val="90000"/>
            </a:lnSpc>
            <a:spcBef>
              <a:spcPct val="0"/>
            </a:spcBef>
            <a:spcAft>
              <a:spcPct val="35000"/>
            </a:spcAft>
          </a:pPr>
          <a:endParaRPr lang="fr-FR" sz="2600" kern="1200"/>
        </a:p>
      </dsp:txBody>
      <dsp:txXfrm>
        <a:off x="3145305" y="1610682"/>
        <a:ext cx="985060" cy="510020"/>
      </dsp:txXfrm>
    </dsp:sp>
    <dsp:sp modelId="{76743A3B-A772-4CDE-9DA1-08EAF1F29183}">
      <dsp:nvSpPr>
        <dsp:cNvPr id="0" name=""/>
        <dsp:cNvSpPr/>
      </dsp:nvSpPr>
      <dsp:spPr>
        <a:xfrm>
          <a:off x="3342317" y="2007365"/>
          <a:ext cx="886554" cy="17000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fr-FR" sz="1100" kern="1200"/>
        </a:p>
      </dsp:txBody>
      <dsp:txXfrm>
        <a:off x="3342317" y="2007365"/>
        <a:ext cx="886554" cy="170006"/>
      </dsp:txXfrm>
    </dsp:sp>
    <dsp:sp modelId="{318CCCEF-13C4-47E7-8E2D-D80233E578B8}">
      <dsp:nvSpPr>
        <dsp:cNvPr id="0" name=""/>
        <dsp:cNvSpPr/>
      </dsp:nvSpPr>
      <dsp:spPr>
        <a:xfrm>
          <a:off x="1162942" y="805983"/>
          <a:ext cx="985060" cy="5100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71970" numCol="1" spcCol="1270" anchor="ctr" anchorCtr="0">
          <a:noAutofit/>
        </a:bodyPr>
        <a:lstStyle/>
        <a:p>
          <a:pPr lvl="0" algn="ctr" defTabSz="1155700">
            <a:lnSpc>
              <a:spcPct val="90000"/>
            </a:lnSpc>
            <a:spcBef>
              <a:spcPct val="0"/>
            </a:spcBef>
            <a:spcAft>
              <a:spcPct val="35000"/>
            </a:spcAft>
          </a:pPr>
          <a:endParaRPr lang="fr-FR" sz="2600" kern="1200"/>
        </a:p>
      </dsp:txBody>
      <dsp:txXfrm>
        <a:off x="1162942" y="805983"/>
        <a:ext cx="985060" cy="510020"/>
      </dsp:txXfrm>
    </dsp:sp>
    <dsp:sp modelId="{BF529785-C73C-4564-9DCD-E733BB6DE552}">
      <dsp:nvSpPr>
        <dsp:cNvPr id="0" name=""/>
        <dsp:cNvSpPr/>
      </dsp:nvSpPr>
      <dsp:spPr>
        <a:xfrm>
          <a:off x="1359954" y="1202666"/>
          <a:ext cx="886554" cy="17000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fr-FR" sz="500" kern="1200"/>
            <a:t>Politique monétaire non conventionelle de la BCE</a:t>
          </a:r>
        </a:p>
      </dsp:txBody>
      <dsp:txXfrm>
        <a:off x="1359954" y="1202666"/>
        <a:ext cx="886554" cy="17000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2430</Words>
  <Characters>13371</Characters>
  <Application>Microsoft Macintosh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Julien Lafon</cp:lastModifiedBy>
  <cp:revision>3</cp:revision>
  <dcterms:created xsi:type="dcterms:W3CDTF">2016-03-17T13:21:00Z</dcterms:created>
  <dcterms:modified xsi:type="dcterms:W3CDTF">2016-04-12T06:24:00Z</dcterms:modified>
</cp:coreProperties>
</file>